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78B77" w14:textId="726839F3" w:rsidR="00D864CD" w:rsidRPr="00663892" w:rsidRDefault="00162E86" w:rsidP="0087271E">
      <w:pPr>
        <w:jc w:val="center"/>
        <w:rPr>
          <w:b/>
          <w:bCs/>
          <w:sz w:val="28"/>
          <w:szCs w:val="28"/>
          <w:lang w:val="lv-LV"/>
        </w:rPr>
      </w:pPr>
      <w:bookmarkStart w:id="0" w:name="_Toc417567323"/>
      <w:r w:rsidRPr="00663892">
        <w:rPr>
          <w:b/>
          <w:bCs/>
          <w:sz w:val="28"/>
          <w:szCs w:val="28"/>
          <w:lang w:val="lv-LV"/>
        </w:rPr>
        <w:t xml:space="preserve">Profesionālās tālākizglītības </w:t>
      </w:r>
      <w:r w:rsidR="0016037D" w:rsidRPr="00663892">
        <w:rPr>
          <w:b/>
          <w:bCs/>
          <w:sz w:val="28"/>
          <w:szCs w:val="28"/>
          <w:lang w:val="lv-LV"/>
        </w:rPr>
        <w:t xml:space="preserve">programmu </w:t>
      </w:r>
      <w:r w:rsidR="00D864CD" w:rsidRPr="00663892">
        <w:rPr>
          <w:b/>
          <w:bCs/>
          <w:sz w:val="28"/>
          <w:szCs w:val="28"/>
          <w:lang w:val="lv-LV"/>
        </w:rPr>
        <w:t>saraksts, kurās nepieciešams veikt bezdarbnieku apmācību, pārkvalifikāciju un kvalifikācijas paaugstināšanu</w:t>
      </w:r>
    </w:p>
    <w:p w14:paraId="2C8E1412" w14:textId="77777777" w:rsidR="00D864CD" w:rsidRPr="00663892" w:rsidRDefault="00D864CD" w:rsidP="00D864CD">
      <w:pPr>
        <w:spacing w:line="255" w:lineRule="atLeast"/>
        <w:jc w:val="both"/>
        <w:rPr>
          <w:lang w:val="lv-LV"/>
        </w:rPr>
      </w:pPr>
    </w:p>
    <w:p w14:paraId="18E9AF5C" w14:textId="74C6318F" w:rsidR="008E294A" w:rsidRPr="00663892" w:rsidRDefault="008E294A" w:rsidP="008E294A">
      <w:pPr>
        <w:tabs>
          <w:tab w:val="left" w:pos="1080"/>
          <w:tab w:val="left" w:pos="2431"/>
          <w:tab w:val="left" w:pos="2618"/>
        </w:tabs>
        <w:jc w:val="center"/>
        <w:rPr>
          <w:b/>
          <w:lang w:val="lv-LV"/>
        </w:rPr>
      </w:pPr>
      <w:r w:rsidRPr="00663892">
        <w:rPr>
          <w:b/>
          <w:lang w:val="lv-LV"/>
        </w:rPr>
        <w:t>II</w:t>
      </w:r>
      <w:r w:rsidR="00A5031D">
        <w:rPr>
          <w:b/>
          <w:lang w:val="lv-LV"/>
        </w:rPr>
        <w:t>I</w:t>
      </w:r>
      <w:r w:rsidRPr="00663892">
        <w:rPr>
          <w:b/>
          <w:lang w:val="lv-LV"/>
        </w:rPr>
        <w:t xml:space="preserve"> Profesionālā</w:t>
      </w:r>
      <w:r w:rsidR="0045067F">
        <w:rPr>
          <w:b/>
          <w:lang w:val="lv-LV"/>
        </w:rPr>
        <w:t>s tālākizglītības programmas - 3</w:t>
      </w:r>
      <w:r w:rsidRPr="00663892">
        <w:rPr>
          <w:b/>
          <w:lang w:val="lv-LV"/>
        </w:rPr>
        <w:t>.kvalifikācijas līmenis</w:t>
      </w:r>
    </w:p>
    <w:tbl>
      <w:tblPr>
        <w:tblW w:w="0" w:type="auto"/>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97"/>
        <w:gridCol w:w="2097"/>
        <w:gridCol w:w="1276"/>
        <w:gridCol w:w="1276"/>
        <w:gridCol w:w="992"/>
        <w:gridCol w:w="1418"/>
        <w:gridCol w:w="1588"/>
      </w:tblGrid>
      <w:tr w:rsidR="008E294A" w:rsidRPr="0045067F" w14:paraId="13A7D2AA" w14:textId="77777777" w:rsidTr="004261CE">
        <w:trPr>
          <w:jc w:val="center"/>
        </w:trPr>
        <w:tc>
          <w:tcPr>
            <w:tcW w:w="597" w:type="dxa"/>
            <w:shd w:val="clear" w:color="auto" w:fill="A8D08D"/>
            <w:vAlign w:val="center"/>
          </w:tcPr>
          <w:p w14:paraId="57F91E82" w14:textId="77777777" w:rsidR="008E294A" w:rsidRPr="00663892" w:rsidRDefault="008E294A" w:rsidP="004261CE">
            <w:pPr>
              <w:tabs>
                <w:tab w:val="left" w:pos="64"/>
              </w:tabs>
              <w:rPr>
                <w:b/>
                <w:bCs/>
                <w:sz w:val="18"/>
                <w:szCs w:val="18"/>
                <w:lang w:val="lv-LV"/>
              </w:rPr>
            </w:pPr>
            <w:r w:rsidRPr="00663892">
              <w:rPr>
                <w:b/>
                <w:bCs/>
                <w:sz w:val="18"/>
                <w:szCs w:val="18"/>
                <w:lang w:val="lv-LV"/>
              </w:rPr>
              <w:t>Nr.</w:t>
            </w:r>
          </w:p>
          <w:p w14:paraId="0B144303" w14:textId="77777777" w:rsidR="008E294A" w:rsidRPr="00663892" w:rsidRDefault="008E294A" w:rsidP="004261CE">
            <w:pPr>
              <w:tabs>
                <w:tab w:val="left" w:pos="64"/>
              </w:tabs>
              <w:rPr>
                <w:b/>
                <w:bCs/>
                <w:sz w:val="18"/>
                <w:szCs w:val="18"/>
                <w:lang w:val="lv-LV"/>
              </w:rPr>
            </w:pPr>
            <w:r w:rsidRPr="00663892">
              <w:rPr>
                <w:b/>
                <w:bCs/>
                <w:sz w:val="18"/>
                <w:szCs w:val="18"/>
                <w:lang w:val="lv-LV"/>
              </w:rPr>
              <w:t>p.k.</w:t>
            </w:r>
          </w:p>
        </w:tc>
        <w:tc>
          <w:tcPr>
            <w:tcW w:w="2097" w:type="dxa"/>
            <w:shd w:val="clear" w:color="auto" w:fill="A8D08D"/>
            <w:vAlign w:val="center"/>
            <w:hideMark/>
          </w:tcPr>
          <w:p w14:paraId="235B7F24"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6" w:type="dxa"/>
            <w:shd w:val="clear" w:color="auto" w:fill="A8D08D"/>
            <w:vAlign w:val="center"/>
            <w:hideMark/>
          </w:tcPr>
          <w:p w14:paraId="082952A3"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3453E06D" w14:textId="77777777" w:rsidR="008E294A" w:rsidRPr="00663892" w:rsidRDefault="008E294A" w:rsidP="004261CE">
            <w:pPr>
              <w:jc w:val="center"/>
              <w:rPr>
                <w:b/>
                <w:bCs/>
                <w:sz w:val="18"/>
                <w:szCs w:val="18"/>
                <w:lang w:val="lv-LV"/>
              </w:rPr>
            </w:pPr>
            <w:r w:rsidRPr="00663892">
              <w:rPr>
                <w:b/>
                <w:bCs/>
                <w:sz w:val="18"/>
                <w:szCs w:val="18"/>
                <w:lang w:val="lv-LV"/>
              </w:rPr>
              <w:t xml:space="preserve">Izglītības programmas kopējais mācību stundu </w:t>
            </w:r>
          </w:p>
          <w:p w14:paraId="10D58BB2" w14:textId="77777777" w:rsidR="008E294A" w:rsidRPr="00663892" w:rsidRDefault="008E294A" w:rsidP="004261CE">
            <w:pPr>
              <w:jc w:val="center"/>
              <w:rPr>
                <w:b/>
                <w:bCs/>
                <w:sz w:val="18"/>
                <w:szCs w:val="18"/>
                <w:lang w:val="lv-LV"/>
              </w:rPr>
            </w:pPr>
            <w:r w:rsidRPr="00663892">
              <w:rPr>
                <w:b/>
                <w:bCs/>
                <w:sz w:val="18"/>
                <w:szCs w:val="18"/>
                <w:lang w:val="lv-LV"/>
              </w:rPr>
              <w:t>skaits</w:t>
            </w:r>
          </w:p>
        </w:tc>
        <w:tc>
          <w:tcPr>
            <w:tcW w:w="992" w:type="dxa"/>
            <w:shd w:val="clear" w:color="auto" w:fill="A8D08D"/>
            <w:vAlign w:val="center"/>
            <w:hideMark/>
          </w:tcPr>
          <w:p w14:paraId="6B5CD3D3"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63372D47"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c>
          <w:tcPr>
            <w:tcW w:w="1418" w:type="dxa"/>
            <w:shd w:val="clear" w:color="auto" w:fill="A8D08D"/>
            <w:vAlign w:val="center"/>
          </w:tcPr>
          <w:p w14:paraId="56D0DEB9" w14:textId="77777777" w:rsidR="008E294A" w:rsidRPr="00663892" w:rsidRDefault="008E294A" w:rsidP="004261CE">
            <w:pPr>
              <w:jc w:val="center"/>
              <w:rPr>
                <w:b/>
                <w:bCs/>
                <w:sz w:val="18"/>
                <w:szCs w:val="18"/>
                <w:lang w:val="lv-LV"/>
              </w:rPr>
            </w:pPr>
            <w:r w:rsidRPr="00663892">
              <w:rPr>
                <w:b/>
                <w:bCs/>
                <w:sz w:val="18"/>
                <w:szCs w:val="18"/>
                <w:lang w:val="lv-LV"/>
              </w:rPr>
              <w:t>Koeficients atbilstoši Ministru kabineta noteikumiem*</w:t>
            </w:r>
          </w:p>
          <w:p w14:paraId="25FD488F" w14:textId="77777777" w:rsidR="008E294A" w:rsidRPr="00663892" w:rsidRDefault="008E294A" w:rsidP="004261CE">
            <w:pPr>
              <w:jc w:val="center"/>
              <w:rPr>
                <w:b/>
                <w:bCs/>
                <w:sz w:val="18"/>
                <w:szCs w:val="18"/>
                <w:lang w:val="lv-LV"/>
              </w:rPr>
            </w:pPr>
          </w:p>
        </w:tc>
        <w:tc>
          <w:tcPr>
            <w:tcW w:w="1588" w:type="dxa"/>
            <w:shd w:val="clear" w:color="auto" w:fill="A8D08D"/>
            <w:vAlign w:val="center"/>
            <w:hideMark/>
          </w:tcPr>
          <w:p w14:paraId="00D55844"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8E294A" w:rsidRPr="00663892" w14:paraId="38E1E6EC" w14:textId="77777777" w:rsidTr="008E294A">
        <w:trPr>
          <w:jc w:val="center"/>
        </w:trPr>
        <w:tc>
          <w:tcPr>
            <w:tcW w:w="597" w:type="dxa"/>
            <w:shd w:val="clear" w:color="auto" w:fill="auto"/>
            <w:vAlign w:val="center"/>
          </w:tcPr>
          <w:p w14:paraId="31B764F1" w14:textId="2776848A" w:rsidR="008E294A" w:rsidRPr="00663892" w:rsidRDefault="000C12A5" w:rsidP="00181015">
            <w:pPr>
              <w:tabs>
                <w:tab w:val="left" w:pos="64"/>
              </w:tabs>
              <w:ind w:left="360" w:hanging="297"/>
              <w:jc w:val="center"/>
              <w:rPr>
                <w:sz w:val="20"/>
                <w:szCs w:val="20"/>
                <w:lang w:val="lv-LV"/>
              </w:rPr>
            </w:pPr>
            <w:r>
              <w:rPr>
                <w:sz w:val="20"/>
                <w:szCs w:val="20"/>
                <w:lang w:val="lv-LV"/>
              </w:rPr>
              <w:t>1</w:t>
            </w:r>
            <w:r w:rsidR="008E294A" w:rsidRPr="00663892">
              <w:rPr>
                <w:sz w:val="20"/>
                <w:szCs w:val="20"/>
                <w:lang w:val="lv-LV"/>
              </w:rPr>
              <w:t>.</w:t>
            </w:r>
          </w:p>
        </w:tc>
        <w:tc>
          <w:tcPr>
            <w:tcW w:w="2097" w:type="dxa"/>
            <w:shd w:val="clear" w:color="auto" w:fill="auto"/>
            <w:vAlign w:val="center"/>
          </w:tcPr>
          <w:p w14:paraId="63A82D44" w14:textId="03D9AA52" w:rsidR="008E294A" w:rsidRPr="00663892" w:rsidRDefault="0045067F" w:rsidP="004261CE">
            <w:pPr>
              <w:jc w:val="center"/>
              <w:rPr>
                <w:sz w:val="20"/>
                <w:szCs w:val="20"/>
                <w:lang w:val="lv-LV"/>
              </w:rPr>
            </w:pPr>
            <w:r>
              <w:rPr>
                <w:sz w:val="20"/>
                <w:szCs w:val="20"/>
                <w:lang w:val="lv-LV"/>
              </w:rPr>
              <w:t>Ventilācijas, kondicionēšanas un saldēšanas iekāru mehāniķis</w:t>
            </w:r>
          </w:p>
        </w:tc>
        <w:tc>
          <w:tcPr>
            <w:tcW w:w="1276" w:type="dxa"/>
            <w:shd w:val="clear" w:color="auto" w:fill="auto"/>
            <w:vAlign w:val="center"/>
          </w:tcPr>
          <w:p w14:paraId="45DD80FD" w14:textId="3D101DED" w:rsidR="008E294A" w:rsidRPr="00663892" w:rsidRDefault="0045067F" w:rsidP="004261CE">
            <w:pPr>
              <w:jc w:val="center"/>
              <w:rPr>
                <w:sz w:val="20"/>
                <w:szCs w:val="20"/>
                <w:lang w:val="lv-LV"/>
              </w:rPr>
            </w:pPr>
            <w:r>
              <w:rPr>
                <w:sz w:val="20"/>
                <w:szCs w:val="20"/>
                <w:lang w:val="lv-LV"/>
              </w:rPr>
              <w:t>7127 04</w:t>
            </w:r>
          </w:p>
        </w:tc>
        <w:tc>
          <w:tcPr>
            <w:tcW w:w="1276" w:type="dxa"/>
            <w:shd w:val="clear" w:color="auto" w:fill="auto"/>
            <w:vAlign w:val="center"/>
          </w:tcPr>
          <w:p w14:paraId="5DAA4A57" w14:textId="1A213ACA" w:rsidR="008E294A" w:rsidRPr="00663892" w:rsidRDefault="0045067F" w:rsidP="004261CE">
            <w:pPr>
              <w:jc w:val="center"/>
              <w:rPr>
                <w:sz w:val="20"/>
                <w:szCs w:val="20"/>
                <w:lang w:val="lv-LV"/>
              </w:rPr>
            </w:pPr>
            <w:r>
              <w:rPr>
                <w:sz w:val="20"/>
                <w:szCs w:val="20"/>
                <w:lang w:val="lv-LV"/>
              </w:rPr>
              <w:t>960</w:t>
            </w:r>
          </w:p>
        </w:tc>
        <w:tc>
          <w:tcPr>
            <w:tcW w:w="992" w:type="dxa"/>
            <w:shd w:val="clear" w:color="auto" w:fill="auto"/>
            <w:vAlign w:val="center"/>
          </w:tcPr>
          <w:p w14:paraId="68F2E30A" w14:textId="7DC1A01F" w:rsidR="008E294A" w:rsidRPr="00663892" w:rsidRDefault="0045067F" w:rsidP="004261CE">
            <w:pPr>
              <w:jc w:val="center"/>
              <w:rPr>
                <w:bCs/>
                <w:sz w:val="20"/>
                <w:szCs w:val="20"/>
                <w:lang w:val="lv-LV"/>
              </w:rPr>
            </w:pPr>
            <w:r>
              <w:rPr>
                <w:bCs/>
                <w:sz w:val="20"/>
                <w:szCs w:val="20"/>
                <w:lang w:val="lv-LV"/>
              </w:rPr>
              <w:t>1220</w:t>
            </w:r>
          </w:p>
        </w:tc>
        <w:tc>
          <w:tcPr>
            <w:tcW w:w="1418" w:type="dxa"/>
            <w:shd w:val="clear" w:color="auto" w:fill="auto"/>
            <w:vAlign w:val="center"/>
          </w:tcPr>
          <w:p w14:paraId="48FCE501" w14:textId="63E38E4B" w:rsidR="008E294A" w:rsidRPr="00663892" w:rsidRDefault="00A5031D" w:rsidP="004261CE">
            <w:pPr>
              <w:jc w:val="center"/>
              <w:rPr>
                <w:sz w:val="20"/>
                <w:szCs w:val="20"/>
                <w:lang w:val="lv-LV"/>
              </w:rPr>
            </w:pPr>
            <w:r>
              <w:rPr>
                <w:sz w:val="20"/>
                <w:szCs w:val="20"/>
                <w:lang w:val="lv-LV"/>
              </w:rPr>
              <w:t>1,27</w:t>
            </w:r>
          </w:p>
        </w:tc>
        <w:tc>
          <w:tcPr>
            <w:tcW w:w="1588" w:type="dxa"/>
            <w:shd w:val="clear" w:color="auto" w:fill="auto"/>
            <w:vAlign w:val="center"/>
          </w:tcPr>
          <w:p w14:paraId="28EA2032" w14:textId="4F1621E1" w:rsidR="008E294A" w:rsidRPr="00663892" w:rsidRDefault="00A5031D" w:rsidP="004261CE">
            <w:pPr>
              <w:jc w:val="center"/>
              <w:rPr>
                <w:sz w:val="20"/>
                <w:szCs w:val="20"/>
                <w:lang w:val="lv-LV"/>
              </w:rPr>
            </w:pPr>
            <w:r>
              <w:rPr>
                <w:sz w:val="20"/>
                <w:szCs w:val="20"/>
                <w:lang w:val="lv-LV"/>
              </w:rPr>
              <w:t>1549,40</w:t>
            </w:r>
          </w:p>
        </w:tc>
      </w:tr>
    </w:tbl>
    <w:p w14:paraId="1B4ABD6D" w14:textId="77777777" w:rsidR="008E294A" w:rsidRPr="00663892" w:rsidRDefault="008E294A" w:rsidP="008E294A">
      <w:pPr>
        <w:ind w:left="142" w:hanging="142"/>
        <w:rPr>
          <w:sz w:val="18"/>
          <w:szCs w:val="18"/>
          <w:lang w:val="lv-LV"/>
        </w:rPr>
      </w:pPr>
      <w:r w:rsidRPr="00663892">
        <w:rPr>
          <w:sz w:val="18"/>
          <w:szCs w:val="18"/>
          <w:lang w:val="lv-LV"/>
        </w:rPr>
        <w:t xml:space="preserve">   * 2007. gada 2.oktobra Ministru kabineta noteikumi Nr.655 „Noteikumi par profesionālās izglītības programmu īstenošanas izmaksu minimumu uz vienu izglītojamo”</w:t>
      </w:r>
    </w:p>
    <w:p w14:paraId="64319D2A" w14:textId="77777777" w:rsidR="008E294A" w:rsidRPr="00663892" w:rsidRDefault="008E294A" w:rsidP="003A6506">
      <w:pPr>
        <w:tabs>
          <w:tab w:val="left" w:pos="1080"/>
          <w:tab w:val="left" w:pos="2431"/>
          <w:tab w:val="left" w:pos="2618"/>
        </w:tabs>
        <w:rPr>
          <w:sz w:val="20"/>
          <w:szCs w:val="20"/>
          <w:lang w:val="lv-LV"/>
        </w:rPr>
      </w:pPr>
    </w:p>
    <w:p w14:paraId="5E674300" w14:textId="77777777" w:rsidR="008E294A" w:rsidRPr="00663892" w:rsidRDefault="008E294A" w:rsidP="008E294A">
      <w:pPr>
        <w:tabs>
          <w:tab w:val="left" w:pos="1080"/>
          <w:tab w:val="left" w:pos="2431"/>
          <w:tab w:val="left" w:pos="2618"/>
        </w:tabs>
        <w:rPr>
          <w:sz w:val="28"/>
          <w:szCs w:val="28"/>
          <w:lang w:val="lv-LV"/>
        </w:rPr>
      </w:pPr>
      <w:bookmarkStart w:id="1" w:name="_GoBack"/>
      <w:bookmarkEnd w:id="1"/>
    </w:p>
    <w:bookmarkEnd w:id="0"/>
    <w:sectPr w:rsidR="008E294A" w:rsidRPr="00663892" w:rsidSect="00A51BF9">
      <w:headerReference w:type="even" r:id="rId8"/>
      <w:headerReference w:type="default" r:id="rId9"/>
      <w:pgSz w:w="11906" w:h="16838" w:code="9"/>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67B2" w14:textId="77777777" w:rsidR="006B25ED" w:rsidRDefault="006B25ED">
      <w:r>
        <w:separator/>
      </w:r>
    </w:p>
  </w:endnote>
  <w:endnote w:type="continuationSeparator" w:id="0">
    <w:p w14:paraId="7B690C9F" w14:textId="77777777" w:rsidR="006B25ED" w:rsidRDefault="006B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96BB3" w14:textId="77777777" w:rsidR="006B25ED" w:rsidRDefault="006B25ED">
      <w:r>
        <w:separator/>
      </w:r>
    </w:p>
  </w:footnote>
  <w:footnote w:type="continuationSeparator" w:id="0">
    <w:p w14:paraId="0325D375" w14:textId="77777777" w:rsidR="006B25ED" w:rsidRDefault="006B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D1EE" w14:textId="77777777"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663892" w:rsidRDefault="0066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6718" w14:textId="09D31D96"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2A5">
      <w:rPr>
        <w:rStyle w:val="PageNumber"/>
        <w:noProof/>
      </w:rPr>
      <w:t>2</w:t>
    </w:r>
    <w:r>
      <w:rPr>
        <w:rStyle w:val="PageNumber"/>
      </w:rPr>
      <w:fldChar w:fldCharType="end"/>
    </w:r>
  </w:p>
  <w:p w14:paraId="2AEAD2C5" w14:textId="77777777" w:rsidR="00663892" w:rsidRDefault="0066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2A5"/>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4AE5"/>
    <w:rsid w:val="003E4BE9"/>
    <w:rsid w:val="003E5435"/>
    <w:rsid w:val="003E59ED"/>
    <w:rsid w:val="003E5DC3"/>
    <w:rsid w:val="003E685F"/>
    <w:rsid w:val="003E68C1"/>
    <w:rsid w:val="003E7230"/>
    <w:rsid w:val="003E7E29"/>
    <w:rsid w:val="003E7F9E"/>
    <w:rsid w:val="003F0249"/>
    <w:rsid w:val="003F2E9E"/>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7F"/>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31D"/>
    <w:rsid w:val="00A504A4"/>
    <w:rsid w:val="00A50871"/>
    <w:rsid w:val="00A518AD"/>
    <w:rsid w:val="00A51BF9"/>
    <w:rsid w:val="00A51CBF"/>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988"/>
    <w:rsid w:val="00C24E95"/>
    <w:rsid w:val="00C2555D"/>
    <w:rsid w:val="00C25749"/>
    <w:rsid w:val="00C25C47"/>
    <w:rsid w:val="00C26ECA"/>
    <w:rsid w:val="00C27629"/>
    <w:rsid w:val="00C30346"/>
    <w:rsid w:val="00C31352"/>
    <w:rsid w:val="00C338DB"/>
    <w:rsid w:val="00C33BE5"/>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3684"/>
    <w:rsid w:val="00CD473A"/>
    <w:rsid w:val="00CD4C03"/>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197D"/>
    <w:rsid w:val="00EB2941"/>
    <w:rsid w:val="00EB2CB6"/>
    <w:rsid w:val="00EB3930"/>
    <w:rsid w:val="00EB3A22"/>
    <w:rsid w:val="00EB3ECE"/>
    <w:rsid w:val="00EB3F0E"/>
    <w:rsid w:val="00EB54BC"/>
    <w:rsid w:val="00EB5734"/>
    <w:rsid w:val="00EB5907"/>
    <w:rsid w:val="00EB625A"/>
    <w:rsid w:val="00EB6532"/>
    <w:rsid w:val="00EB7114"/>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22F4-6214-40BF-80F4-754E8DF7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87</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PROTOKOLS Nr. 3/2013</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 3/2013</dc:title>
  <dc:subject/>
  <dc:creator>Raimonds Brīdaks</dc:creator>
  <cp:keywords/>
  <cp:lastModifiedBy>Jurijs Adejevs</cp:lastModifiedBy>
  <cp:revision>12</cp:revision>
  <cp:lastPrinted>2019-06-18T13:25:00Z</cp:lastPrinted>
  <dcterms:created xsi:type="dcterms:W3CDTF">2019-06-03T13:17:00Z</dcterms:created>
  <dcterms:modified xsi:type="dcterms:W3CDTF">2020-01-17T07:57:00Z</dcterms:modified>
</cp:coreProperties>
</file>