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48E" w:rsidRPr="00A830FD" w:rsidRDefault="0061748E" w:rsidP="0076068F">
      <w:pPr>
        <w:spacing w:after="0"/>
        <w:jc w:val="center"/>
        <w:rPr>
          <w:rStyle w:val="Strong"/>
          <w:rFonts w:ascii="Times New Roman" w:hAnsi="Times New Roman" w:cs="Times New Roman"/>
        </w:rPr>
      </w:pPr>
      <w:r w:rsidRPr="00A830FD"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5760085" cy="1115621"/>
            <wp:effectExtent l="19050" t="0" r="0" b="0"/>
            <wp:docPr id="3" name="Picture 17" descr="http://www.nva.gov.lv/docs/28_555dc1cb3ef075.77411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nva.gov.lv/docs/28_555dc1cb3ef075.774113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1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DB" w:rsidRPr="00A830FD" w:rsidRDefault="00412657" w:rsidP="00B62072">
      <w:pPr>
        <w:jc w:val="center"/>
        <w:rPr>
          <w:rFonts w:ascii="Times New Roman" w:hAnsi="Times New Roman" w:cs="Times New Roman"/>
          <w:color w:val="000000"/>
        </w:rPr>
      </w:pPr>
      <w:r w:rsidRPr="00A830FD">
        <w:rPr>
          <w:rFonts w:ascii="Times New Roman" w:hAnsi="Times New Roman" w:cs="Times New Roman"/>
          <w:color w:val="000000"/>
        </w:rPr>
        <w:t>(ESF projekts „Atbalsts bezdarbnieku izglītībai” Nr.7.1.1.0/15/I/001)</w:t>
      </w:r>
    </w:p>
    <w:tbl>
      <w:tblPr>
        <w:tblW w:w="579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9"/>
        <w:gridCol w:w="1791"/>
      </w:tblGrid>
      <w:tr w:rsidR="00BF053E" w:rsidRPr="00A830FD" w:rsidTr="008E2362">
        <w:trPr>
          <w:tblCellSpacing w:w="0" w:type="dxa"/>
        </w:trPr>
        <w:tc>
          <w:tcPr>
            <w:tcW w:w="4263" w:type="pct"/>
            <w:vAlign w:val="center"/>
            <w:hideMark/>
          </w:tcPr>
          <w:p w:rsidR="00B62072" w:rsidRDefault="00B62072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</w:p>
          <w:p w:rsidR="00BF053E" w:rsidRDefault="000A6DAA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proofErr w:type="gramStart"/>
            <w:r>
              <w:rPr>
                <w:color w:val="4F4F4F"/>
                <w:sz w:val="22"/>
                <w:szCs w:val="22"/>
                <w:lang w:val="lv-LV"/>
              </w:rPr>
              <w:t>2019.gada</w:t>
            </w:r>
            <w:proofErr w:type="gramEnd"/>
            <w:r>
              <w:rPr>
                <w:color w:val="4F4F4F"/>
                <w:sz w:val="22"/>
                <w:szCs w:val="22"/>
                <w:lang w:val="lv-LV"/>
              </w:rPr>
              <w:t xml:space="preserve"> 1 janvārī</w:t>
            </w:r>
            <w:r w:rsidR="00BF053E" w:rsidRPr="00A830FD">
              <w:rPr>
                <w:color w:val="4F4F4F"/>
                <w:sz w:val="22"/>
                <w:szCs w:val="22"/>
                <w:lang w:val="lv-LV"/>
              </w:rPr>
              <w:t xml:space="preserve"> stājās spēkā 2011.gada 25.janvāra Ministru kabineta noteikumu Nr.75 "Noteikumi par aktīvo nodarbinātības pasākumu un preventīvo bezdarba samazināšanas pasākumu organizēšanas un finansēšanas kārtību un pasākumu īstenotāju izvēles principiem" grozījumi, kuri nosaka </w:t>
            </w:r>
            <w:r w:rsidR="00A830FD">
              <w:rPr>
                <w:color w:val="4F4F4F"/>
                <w:sz w:val="22"/>
                <w:szCs w:val="22"/>
                <w:lang w:val="lv-LV"/>
              </w:rPr>
              <w:t>atbalsta pasākuma</w:t>
            </w:r>
            <w:r w:rsidR="00BF053E" w:rsidRPr="00A830FD">
              <w:rPr>
                <w:b/>
                <w:bCs/>
                <w:color w:val="4F4F4F"/>
                <w:sz w:val="22"/>
                <w:szCs w:val="22"/>
                <w:lang w:val="lv-LV"/>
              </w:rPr>
              <w:t xml:space="preserve"> „Atbalsts reģionālajai mobilitātei aktīvo nodarbinātības pasākumu ietvaros” </w:t>
            </w:r>
            <w:r w:rsidR="00BF053E" w:rsidRPr="00A830FD">
              <w:rPr>
                <w:color w:val="4F4F4F"/>
                <w:sz w:val="22"/>
                <w:szCs w:val="22"/>
                <w:lang w:val="lv-LV"/>
              </w:rPr>
              <w:t xml:space="preserve">(turpmāk – Pasākums) īstenošanas nosacījumus. </w:t>
            </w:r>
          </w:p>
          <w:p w:rsidR="00BF053E" w:rsidRPr="00A830FD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</w:p>
          <w:p w:rsidR="00BF053E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color w:val="4F4F4F"/>
                <w:sz w:val="22"/>
                <w:szCs w:val="22"/>
                <w:lang w:val="lv-LV"/>
              </w:rPr>
              <w:t>Pasākumu</w:t>
            </w:r>
            <w:r w:rsidR="00A830FD">
              <w:rPr>
                <w:color w:val="4F4F4F"/>
                <w:sz w:val="22"/>
                <w:szCs w:val="22"/>
                <w:lang w:val="lv-LV"/>
              </w:rPr>
              <w:t xml:space="preserve"> īsteno</w:t>
            </w:r>
            <w:r w:rsidRPr="00A830FD">
              <w:rPr>
                <w:color w:val="4F4F4F"/>
                <w:sz w:val="22"/>
                <w:szCs w:val="22"/>
                <w:lang w:val="lv-LV"/>
              </w:rPr>
              <w:t xml:space="preserve"> Latvijas Republikas administratīvajā teritorijā, izņemot Rīgu</w:t>
            </w:r>
            <w:r w:rsidR="00F077DB">
              <w:rPr>
                <w:color w:val="4F4F4F"/>
                <w:sz w:val="22"/>
                <w:szCs w:val="22"/>
                <w:lang w:val="lv-LV"/>
              </w:rPr>
              <w:t>.</w:t>
            </w:r>
          </w:p>
          <w:p w:rsidR="00F077DB" w:rsidRDefault="00F077DB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</w:p>
          <w:p w:rsidR="00F077DB" w:rsidRDefault="00F077DB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>
              <w:rPr>
                <w:color w:val="4F4F4F"/>
                <w:sz w:val="22"/>
                <w:szCs w:val="22"/>
                <w:lang w:val="lv-LV"/>
              </w:rPr>
              <w:t>Pasākumā var piedalīties bezdarbnieks, kurš piedalās kādā no apmācībām:</w:t>
            </w:r>
          </w:p>
          <w:p w:rsidR="00F077DB" w:rsidRPr="009D1A14" w:rsidRDefault="00F077DB" w:rsidP="00F077DB">
            <w:pPr>
              <w:pStyle w:val="NormalWeb"/>
              <w:numPr>
                <w:ilvl w:val="0"/>
                <w:numId w:val="16"/>
              </w:numPr>
              <w:spacing w:line="255" w:lineRule="atLeast"/>
              <w:jc w:val="both"/>
              <w:rPr>
                <w:b/>
                <w:color w:val="4F4F4F"/>
                <w:sz w:val="22"/>
                <w:szCs w:val="22"/>
                <w:lang w:val="lv-LV"/>
              </w:rPr>
            </w:pPr>
            <w:r w:rsidRPr="009D1A14">
              <w:rPr>
                <w:b/>
                <w:color w:val="4F4F4F"/>
                <w:sz w:val="22"/>
                <w:szCs w:val="22"/>
                <w:lang w:val="lv-LV"/>
              </w:rPr>
              <w:t>Profesionālās tālākizglītības un profesionālās pilnveides izglītības programmu apguvē;</w:t>
            </w:r>
          </w:p>
          <w:p w:rsidR="00F077DB" w:rsidRPr="009D1A14" w:rsidRDefault="00F077DB" w:rsidP="00F077DB">
            <w:pPr>
              <w:pStyle w:val="NormalWeb"/>
              <w:numPr>
                <w:ilvl w:val="0"/>
                <w:numId w:val="16"/>
              </w:numPr>
              <w:spacing w:line="255" w:lineRule="atLeast"/>
              <w:jc w:val="both"/>
              <w:rPr>
                <w:b/>
                <w:color w:val="4F4F4F"/>
                <w:sz w:val="22"/>
                <w:szCs w:val="22"/>
                <w:lang w:val="lv-LV"/>
              </w:rPr>
            </w:pPr>
            <w:r w:rsidRPr="009D1A14">
              <w:rPr>
                <w:b/>
                <w:color w:val="4F4F4F"/>
                <w:sz w:val="22"/>
                <w:szCs w:val="22"/>
                <w:lang w:val="lv-LV"/>
              </w:rPr>
              <w:t>Neformālās izglītības programmu apguvē;</w:t>
            </w:r>
          </w:p>
          <w:p w:rsidR="00F077DB" w:rsidRPr="009D1A14" w:rsidRDefault="00F077DB" w:rsidP="00F077DB">
            <w:pPr>
              <w:pStyle w:val="NormalWeb"/>
              <w:numPr>
                <w:ilvl w:val="0"/>
                <w:numId w:val="16"/>
              </w:numPr>
              <w:spacing w:line="255" w:lineRule="atLeast"/>
              <w:jc w:val="both"/>
              <w:rPr>
                <w:b/>
                <w:color w:val="4F4F4F"/>
                <w:sz w:val="22"/>
                <w:szCs w:val="22"/>
                <w:lang w:val="lv-LV"/>
              </w:rPr>
            </w:pPr>
            <w:r w:rsidRPr="009D1A14">
              <w:rPr>
                <w:b/>
                <w:color w:val="4F4F4F"/>
                <w:sz w:val="22"/>
                <w:szCs w:val="22"/>
                <w:lang w:val="lv-LV"/>
              </w:rPr>
              <w:t>Transportlīdzekļu un traktortehnikas vadītāju apmācībā;</w:t>
            </w:r>
          </w:p>
          <w:p w:rsidR="00F077DB" w:rsidRPr="009D1A14" w:rsidRDefault="00F077DB" w:rsidP="00F077DB">
            <w:pPr>
              <w:pStyle w:val="NormalWeb"/>
              <w:numPr>
                <w:ilvl w:val="0"/>
                <w:numId w:val="16"/>
              </w:numPr>
              <w:spacing w:line="255" w:lineRule="atLeast"/>
              <w:jc w:val="both"/>
              <w:rPr>
                <w:b/>
                <w:color w:val="4F4F4F"/>
                <w:sz w:val="22"/>
                <w:szCs w:val="22"/>
                <w:lang w:val="lv-LV"/>
              </w:rPr>
            </w:pPr>
            <w:r w:rsidRPr="009D1A14">
              <w:rPr>
                <w:b/>
                <w:color w:val="4F4F4F"/>
                <w:sz w:val="22"/>
                <w:szCs w:val="22"/>
                <w:lang w:val="lv-LV"/>
              </w:rPr>
              <w:t>Apmācībā pie darba devēja.</w:t>
            </w:r>
          </w:p>
          <w:p w:rsidR="00BF053E" w:rsidRPr="00A830FD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color w:val="4F4F4F"/>
                <w:sz w:val="22"/>
                <w:szCs w:val="22"/>
                <w:lang w:val="lv-LV"/>
              </w:rPr>
              <w:t> </w:t>
            </w:r>
          </w:p>
          <w:p w:rsidR="000A6DAA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b/>
                <w:bCs/>
                <w:color w:val="4F4F4F"/>
                <w:sz w:val="22"/>
                <w:szCs w:val="22"/>
                <w:lang w:val="lv-LV"/>
              </w:rPr>
              <w:t>Finanšu atlīdzību Pasākuma ietvaros var saņemt bezdarbnieks, kurš vienlaikus atbilst šādām prasībām:</w:t>
            </w:r>
            <w:r w:rsidRPr="00A830FD">
              <w:rPr>
                <w:color w:val="4F4F4F"/>
                <w:sz w:val="22"/>
                <w:szCs w:val="22"/>
                <w:lang w:val="lv-LV"/>
              </w:rPr>
              <w:br/>
              <w:t>1. apmācību vieta atrodas vismaz 15 km attālumā no deklarē</w:t>
            </w:r>
            <w:r w:rsidR="00625009">
              <w:rPr>
                <w:color w:val="4F4F4F"/>
                <w:sz w:val="22"/>
                <w:szCs w:val="22"/>
                <w:lang w:val="lv-LV"/>
              </w:rPr>
              <w:t xml:space="preserve">tās dzīves vietas </w:t>
            </w:r>
            <w:r w:rsidR="00625009" w:rsidRPr="007B710A">
              <w:rPr>
                <w:color w:val="4F4F4F"/>
                <w:sz w:val="22"/>
                <w:szCs w:val="22"/>
                <w:lang w:val="lv-LV"/>
              </w:rPr>
              <w:t>(nav attiecināms uz Rīgas administratīvo teritoriju, ja bezdarbnieks ir deklarēts Rīgā un apmācību/prakses vai darbavieta atrodas Rīgas administratīvajā teritorijā)</w:t>
            </w:r>
            <w:r w:rsidRPr="007B710A">
              <w:rPr>
                <w:color w:val="4F4F4F"/>
                <w:sz w:val="22"/>
                <w:szCs w:val="22"/>
                <w:lang w:val="lv-LV"/>
              </w:rPr>
              <w:t>;</w:t>
            </w:r>
          </w:p>
          <w:p w:rsidR="00BF053E" w:rsidRPr="00A830FD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color w:val="4F4F4F"/>
                <w:sz w:val="22"/>
                <w:szCs w:val="22"/>
                <w:lang w:val="lv-LV"/>
              </w:rPr>
              <w:t>2.</w:t>
            </w:r>
            <w:r w:rsidR="000A6DAA">
              <w:rPr>
                <w:color w:val="4F4F4F"/>
                <w:sz w:val="22"/>
                <w:szCs w:val="22"/>
                <w:lang w:val="lv-LV"/>
              </w:rPr>
              <w:t xml:space="preserve"> </w:t>
            </w:r>
            <w:r w:rsidRPr="00A830FD">
              <w:rPr>
                <w:color w:val="4F4F4F"/>
                <w:sz w:val="22"/>
                <w:szCs w:val="22"/>
                <w:lang w:val="lv-LV"/>
              </w:rPr>
              <w:t>norādītajā dzīvesvietā ir deklarēts vismaz sešus mēnešus</w:t>
            </w:r>
            <w:proofErr w:type="gramStart"/>
            <w:r w:rsidRPr="00A830FD">
              <w:rPr>
                <w:color w:val="4F4F4F"/>
                <w:sz w:val="22"/>
                <w:szCs w:val="22"/>
                <w:lang w:val="lv-LV"/>
              </w:rPr>
              <w:t xml:space="preserve"> vai sešu mēnešu laikā mainījis deklarēto dzīvesvietu</w:t>
            </w:r>
            <w:proofErr w:type="gramEnd"/>
            <w:r w:rsidRPr="00A830FD">
              <w:rPr>
                <w:color w:val="4F4F4F"/>
                <w:sz w:val="22"/>
                <w:szCs w:val="22"/>
                <w:lang w:val="lv-LV"/>
              </w:rPr>
              <w:t xml:space="preserve"> un gan jaunā, gan iepriekšējā dzīvesvieta atrodas vienas pašvaldības administratīvajā teritorijā, izņemot gadījumus, kad bezdarbniekam konkrētā dzīvesvieta ir pirmā deklarētā dzīvesvieta Latvijā;</w:t>
            </w:r>
          </w:p>
          <w:p w:rsidR="00BF053E" w:rsidRPr="00A830FD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color w:val="4F4F4F"/>
                <w:sz w:val="22"/>
                <w:szCs w:val="22"/>
                <w:lang w:val="lv-LV"/>
              </w:rPr>
              <w:t>3. finanšu atbalsts tiek pieprasīts 10 darbdienu laikā no apmācību uzsākšanas dienas.</w:t>
            </w:r>
          </w:p>
          <w:p w:rsidR="00BF053E" w:rsidRPr="00A830FD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color w:val="4F4F4F"/>
                <w:sz w:val="22"/>
                <w:szCs w:val="22"/>
                <w:lang w:val="lv-LV"/>
              </w:rPr>
              <w:t> </w:t>
            </w:r>
          </w:p>
          <w:p w:rsidR="00BF053E" w:rsidRPr="00A830FD" w:rsidRDefault="00BF053E" w:rsidP="00BF053E">
            <w:pPr>
              <w:pStyle w:val="NormalWeb"/>
              <w:spacing w:line="255" w:lineRule="atLeast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b/>
                <w:bCs/>
                <w:color w:val="4F4F4F"/>
                <w:sz w:val="22"/>
                <w:szCs w:val="22"/>
                <w:lang w:val="lv-LV"/>
              </w:rPr>
              <w:t xml:space="preserve">Kā pieteikties? </w:t>
            </w:r>
            <w:r w:rsidRPr="00A830FD">
              <w:rPr>
                <w:color w:val="4F4F4F"/>
                <w:sz w:val="22"/>
                <w:szCs w:val="22"/>
                <w:lang w:val="lv-LV"/>
              </w:rPr>
              <w:br/>
              <w:t xml:space="preserve">Filiāle 10 darbdienu laikā pēc apmācību uzsākšanas pieņem </w:t>
            </w:r>
            <w:hyperlink r:id="rId8" w:tgtFrame="_self" w:history="1">
              <w:r w:rsidRPr="00D918E0">
                <w:rPr>
                  <w:rStyle w:val="Hyperlink"/>
                  <w:sz w:val="22"/>
                  <w:szCs w:val="22"/>
                  <w:lang w:val="lv-LV"/>
                </w:rPr>
                <w:t>Bezdarbnieka iesniegumu</w:t>
              </w:r>
            </w:hyperlink>
            <w:r w:rsidRPr="00D918E0">
              <w:rPr>
                <w:color w:val="4F4F4F"/>
                <w:sz w:val="22"/>
                <w:szCs w:val="22"/>
                <w:lang w:val="lv-LV"/>
              </w:rPr>
              <w:t xml:space="preserve"> </w:t>
            </w:r>
            <w:r w:rsidRPr="00D918E0">
              <w:rPr>
                <w:noProof/>
                <w:color w:val="4F4F4F"/>
                <w:sz w:val="22"/>
                <w:szCs w:val="22"/>
                <w:lang w:val="lv-LV" w:eastAsia="lv-LV"/>
              </w:rPr>
              <w:drawing>
                <wp:inline distT="0" distB="0" distL="0" distR="0">
                  <wp:extent cx="95250" cy="95250"/>
                  <wp:effectExtent l="0" t="0" r="0" b="0"/>
                  <wp:docPr id="6" name="Picture 6" descr="http://www.nva.gov.lv/docs/11_4d1c889d4c28f5.944425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va.gov.lv/docs/11_4d1c889d4c28f5.944425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B38" w:rsidRPr="00D918E0">
              <w:rPr>
                <w:color w:val="4F4F4F"/>
                <w:sz w:val="22"/>
                <w:szCs w:val="22"/>
                <w:lang w:val="lv-LV"/>
              </w:rPr>
              <w:t>,</w:t>
            </w:r>
            <w:r w:rsidR="00767B38">
              <w:rPr>
                <w:color w:val="4F4F4F"/>
                <w:sz w:val="22"/>
                <w:szCs w:val="22"/>
                <w:lang w:val="lv-LV"/>
              </w:rPr>
              <w:t xml:space="preserve"> </w:t>
            </w:r>
            <w:proofErr w:type="gramStart"/>
            <w:r w:rsidR="00767B38">
              <w:rPr>
                <w:color w:val="4F4F4F"/>
                <w:sz w:val="22"/>
                <w:szCs w:val="22"/>
                <w:lang w:val="lv-LV"/>
              </w:rPr>
              <w:t>kuram pievienots viens</w:t>
            </w:r>
            <w:proofErr w:type="gramEnd"/>
            <w:r w:rsidR="00767B38">
              <w:rPr>
                <w:color w:val="4F4F4F"/>
                <w:sz w:val="22"/>
                <w:szCs w:val="22"/>
                <w:lang w:val="lv-LV"/>
              </w:rPr>
              <w:t xml:space="preserve"> pielikums</w:t>
            </w:r>
            <w:r w:rsidR="00DB6718">
              <w:rPr>
                <w:color w:val="4F4F4F"/>
                <w:sz w:val="22"/>
                <w:szCs w:val="22"/>
                <w:lang w:val="lv-LV"/>
              </w:rPr>
              <w:t xml:space="preserve"> ar parakstu apliecināts </w:t>
            </w:r>
            <w:hyperlink r:id="rId10" w:tgtFrame="_self" w:history="1">
              <w:r w:rsidRPr="00D918E0">
                <w:rPr>
                  <w:rStyle w:val="Hyperlink"/>
                  <w:sz w:val="22"/>
                  <w:szCs w:val="22"/>
                  <w:lang w:val="lv-LV"/>
                </w:rPr>
                <w:t>Apliecinājums</w:t>
              </w:r>
            </w:hyperlink>
            <w:r w:rsidR="00767B38" w:rsidRPr="00D918E0">
              <w:rPr>
                <w:noProof/>
                <w:color w:val="4F4F4F"/>
                <w:sz w:val="22"/>
                <w:szCs w:val="22"/>
                <w:lang w:val="lv-LV" w:eastAsia="lv-LV"/>
              </w:rPr>
              <w:t>.</w:t>
            </w:r>
          </w:p>
          <w:p w:rsidR="00BF053E" w:rsidRPr="00A830FD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color w:val="4F4F4F"/>
                <w:sz w:val="22"/>
                <w:szCs w:val="22"/>
                <w:lang w:val="lv-LV"/>
              </w:rPr>
              <w:t> </w:t>
            </w:r>
          </w:p>
          <w:p w:rsidR="00BF053E" w:rsidRPr="00A830FD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color w:val="4F4F4F"/>
                <w:sz w:val="22"/>
                <w:szCs w:val="22"/>
                <w:lang w:val="lv-LV"/>
              </w:rPr>
              <w:t>Ja mainās apmācību adrese, informāciju par apmācību vietu iesniedz atkārtoti un ikmēneša finanšu atlīdzību par nākamajiem mēnešiem aprēķina, ņemot vērā jauno attālumu no deklarētās dzīvesvietas līdz apmācību vietai.</w:t>
            </w:r>
          </w:p>
          <w:p w:rsidR="00BF053E" w:rsidRPr="00A830FD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color w:val="4F4F4F"/>
                <w:sz w:val="22"/>
                <w:szCs w:val="22"/>
                <w:lang w:val="lv-LV"/>
              </w:rPr>
              <w:t> </w:t>
            </w:r>
          </w:p>
          <w:p w:rsidR="00BF053E" w:rsidRPr="00A830FD" w:rsidRDefault="00BF053E" w:rsidP="000A6DAA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A830FD">
              <w:rPr>
                <w:b/>
                <w:bCs/>
                <w:color w:val="4F4F4F"/>
                <w:sz w:val="22"/>
                <w:szCs w:val="22"/>
                <w:lang w:val="lv-LV"/>
              </w:rPr>
              <w:t>Iesniegumus iesniedz Filiālēs šādos veidos:</w:t>
            </w:r>
          </w:p>
          <w:p w:rsidR="00BF053E" w:rsidRPr="00A830FD" w:rsidRDefault="00BF053E" w:rsidP="000A6DAA">
            <w:pPr>
              <w:numPr>
                <w:ilvl w:val="0"/>
                <w:numId w:val="3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color w:val="4F4F4F"/>
              </w:rPr>
              <w:t>klātienē;</w:t>
            </w:r>
          </w:p>
          <w:p w:rsidR="00BF053E" w:rsidRPr="00A830FD" w:rsidRDefault="00BF053E" w:rsidP="00BF053E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color w:val="4F4F4F"/>
              </w:rPr>
              <w:t>elektroniski iesniedzot, iesniegums ir jāparaksta ar drošu elektronisko parakstu un jānoformē atbilstoši normatīvajiem aktiem par elektronisko dokumentu noformēšanu;</w:t>
            </w:r>
          </w:p>
          <w:p w:rsidR="00BF053E" w:rsidRPr="00F077DB" w:rsidRDefault="00BF053E" w:rsidP="00F077D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color w:val="4F4F4F"/>
              </w:rPr>
              <w:t>izmantojot pasta pakalpojumus.</w:t>
            </w:r>
          </w:p>
          <w:p w:rsidR="00BF053E" w:rsidRPr="00015C46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015C46">
              <w:rPr>
                <w:color w:val="4F4F4F"/>
                <w:sz w:val="22"/>
                <w:szCs w:val="22"/>
                <w:lang w:val="lv-LV"/>
              </w:rPr>
              <w:t>Filiāle triju darba dienu laikā no Iesnieguma saņemšanas dienas pieņem lēmumu par finanšu atlīdzību.</w:t>
            </w:r>
          </w:p>
          <w:p w:rsidR="00BF053E" w:rsidRPr="00015C46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015C46">
              <w:rPr>
                <w:color w:val="4F4F4F"/>
                <w:sz w:val="22"/>
                <w:szCs w:val="22"/>
                <w:lang w:val="lv-LV"/>
              </w:rPr>
              <w:t> </w:t>
            </w:r>
          </w:p>
          <w:p w:rsidR="00BF053E" w:rsidRPr="00015C46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015C46">
              <w:rPr>
                <w:color w:val="4F4F4F"/>
                <w:sz w:val="22"/>
                <w:szCs w:val="22"/>
                <w:lang w:val="lv-LV"/>
              </w:rPr>
              <w:t xml:space="preserve">Filiāle vienas darba dienas laikā no lēmuma pieņemšanas rakstveidā informē bezdarbnieku par pieņemto lēmumu. Pozitīva lēmuma gadījumā īres izdevumu kompensēšanai, Filiāle </w:t>
            </w:r>
            <w:proofErr w:type="gramStart"/>
            <w:r w:rsidRPr="00015C46">
              <w:rPr>
                <w:color w:val="4F4F4F"/>
                <w:sz w:val="22"/>
                <w:szCs w:val="22"/>
                <w:lang w:val="lv-LV"/>
              </w:rPr>
              <w:t>vienlaicīgi nosūta</w:t>
            </w:r>
            <w:proofErr w:type="gramEnd"/>
            <w:r w:rsidRPr="00015C46">
              <w:rPr>
                <w:color w:val="4F4F4F"/>
                <w:sz w:val="22"/>
                <w:szCs w:val="22"/>
                <w:lang w:val="lv-LV"/>
              </w:rPr>
              <w:t xml:space="preserve"> Nodarbinātajam finanšu atlīdzības pamatojuma veidlapu.</w:t>
            </w:r>
          </w:p>
          <w:p w:rsidR="00BF053E" w:rsidRPr="00F764EC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  <w:r w:rsidRPr="00F764EC">
              <w:rPr>
                <w:b/>
                <w:bCs/>
                <w:color w:val="4F4F4F"/>
                <w:sz w:val="22"/>
                <w:szCs w:val="22"/>
                <w:lang w:val="lv-LV"/>
              </w:rPr>
              <w:br/>
              <w:t xml:space="preserve">Nodarbinātības valsts aģentūra nodrošina finanšu atlīdzību Bezdarbniekam ne vairāk kā 150 </w:t>
            </w:r>
            <w:proofErr w:type="spellStart"/>
            <w:r w:rsidRPr="00F764EC">
              <w:rPr>
                <w:b/>
                <w:bCs/>
                <w:i/>
                <w:iCs/>
                <w:color w:val="4F4F4F"/>
                <w:sz w:val="22"/>
                <w:szCs w:val="22"/>
                <w:lang w:val="lv-LV"/>
              </w:rPr>
              <w:t>euro</w:t>
            </w:r>
            <w:proofErr w:type="spellEnd"/>
            <w:r w:rsidRPr="00F764EC">
              <w:rPr>
                <w:b/>
                <w:bCs/>
                <w:color w:val="4F4F4F"/>
                <w:sz w:val="22"/>
                <w:szCs w:val="22"/>
                <w:lang w:val="lv-LV"/>
              </w:rPr>
              <w:t xml:space="preserve"> apmērā par pilnu apmācību mēnesi:</w:t>
            </w:r>
          </w:p>
          <w:p w:rsidR="00BF053E" w:rsidRPr="00B62072" w:rsidRDefault="00BF053E" w:rsidP="00B62072">
            <w:pPr>
              <w:numPr>
                <w:ilvl w:val="0"/>
                <w:numId w:val="4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color w:val="4F4F4F"/>
              </w:rPr>
              <w:t>transporta izdevumu segšanai regulāriem braucieni</w:t>
            </w:r>
            <w:r w:rsidR="00015C46">
              <w:rPr>
                <w:rFonts w:ascii="Times New Roman" w:hAnsi="Times New Roman" w:cs="Times New Roman"/>
                <w:color w:val="4F4F4F"/>
              </w:rPr>
              <w:t>em no deklarētās dzīvesvietas līdz</w:t>
            </w:r>
            <w:r w:rsidRPr="00A830FD">
              <w:rPr>
                <w:rFonts w:ascii="Times New Roman" w:hAnsi="Times New Roman" w:cs="Times New Roman"/>
                <w:color w:val="4F4F4F"/>
              </w:rPr>
              <w:t xml:space="preserve"> apmācību vietai un atpakaļ;</w:t>
            </w:r>
          </w:p>
          <w:p w:rsidR="00BF053E" w:rsidRPr="002F3177" w:rsidRDefault="00BF053E" w:rsidP="00B62072">
            <w:pPr>
              <w:numPr>
                <w:ilvl w:val="0"/>
                <w:numId w:val="5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color w:val="4F4F4F"/>
              </w:rPr>
              <w:t xml:space="preserve">dzīvojamās telpas īres izdevumu kompensācijai (nosakot atlīdzības apmēru par dzīvojamo telpu īri, ņem vērā arī transporta izmaksas vienam braucienam no deklarētās dzīvesvietas uz apmācību vietu un atpakaļ). </w:t>
            </w:r>
          </w:p>
          <w:p w:rsidR="000A6DAA" w:rsidRDefault="000A6DAA" w:rsidP="00BF053E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</w:p>
          <w:p w:rsidR="00B62072" w:rsidRDefault="00B62072" w:rsidP="00BF053E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</w:p>
          <w:p w:rsidR="00B62072" w:rsidRDefault="00B62072" w:rsidP="00BF053E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</w:p>
          <w:p w:rsidR="00B62072" w:rsidRPr="00A830FD" w:rsidRDefault="00B62072" w:rsidP="00BF053E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</w:p>
          <w:p w:rsidR="00BF053E" w:rsidRPr="00A830FD" w:rsidRDefault="008E2362" w:rsidP="00BF053E">
            <w:pPr>
              <w:spacing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b/>
                <w:bCs/>
                <w:color w:val="4F4F4F"/>
              </w:rPr>
              <w:t>F</w:t>
            </w:r>
            <w:r w:rsidR="00BF053E" w:rsidRPr="00A830FD">
              <w:rPr>
                <w:rFonts w:ascii="Times New Roman" w:hAnsi="Times New Roman" w:cs="Times New Roman"/>
                <w:b/>
                <w:bCs/>
                <w:color w:val="4F4F4F"/>
              </w:rPr>
              <w:t>inanšu atlīdzības apjoms:</w:t>
            </w:r>
          </w:p>
          <w:p w:rsidR="00BF053E" w:rsidRPr="00A830FD" w:rsidRDefault="00BF053E" w:rsidP="008E2362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color w:val="4F4F4F"/>
              </w:rPr>
              <w:t xml:space="preserve">par apmācību pirmo mēnesi ir iespējams saņemt avansu līdz 150 </w:t>
            </w:r>
            <w:proofErr w:type="spellStart"/>
            <w:r w:rsidRPr="00A830FD">
              <w:rPr>
                <w:rFonts w:ascii="Times New Roman" w:hAnsi="Times New Roman" w:cs="Times New Roman"/>
                <w:color w:val="4F4F4F"/>
              </w:rPr>
              <w:t>euro</w:t>
            </w:r>
            <w:proofErr w:type="spellEnd"/>
            <w:r w:rsidRPr="00A830FD">
              <w:rPr>
                <w:rFonts w:ascii="Times New Roman" w:hAnsi="Times New Roman" w:cs="Times New Roman"/>
                <w:color w:val="4F4F4F"/>
              </w:rPr>
              <w:t>, proporcionāli plānotajam apmācību mēnesim.</w:t>
            </w:r>
            <w:r w:rsidR="008E2362" w:rsidRPr="00A830FD">
              <w:rPr>
                <w:rFonts w:ascii="Times New Roman" w:hAnsi="Times New Roman" w:cs="Times New Roman"/>
                <w:color w:val="4F4F4F"/>
              </w:rPr>
              <w:t xml:space="preserve"> Avanss t</w:t>
            </w:r>
            <w:r w:rsidRPr="00A830FD">
              <w:rPr>
                <w:rFonts w:ascii="Times New Roman" w:hAnsi="Times New Roman" w:cs="Times New Roman"/>
                <w:color w:val="4F4F4F"/>
              </w:rPr>
              <w:t>iek pārskaitīts piecu darbdienu laikā pēc pozitīva lēmuma par finanšu atlīdzības piešķiršanu pieņemšanas.</w:t>
            </w:r>
          </w:p>
          <w:p w:rsidR="00BF053E" w:rsidRPr="00A830FD" w:rsidRDefault="00015C46" w:rsidP="008E2362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>
              <w:rPr>
                <w:rFonts w:ascii="Times New Roman" w:hAnsi="Times New Roman" w:cs="Times New Roman"/>
                <w:color w:val="4F4F4F"/>
              </w:rPr>
              <w:t xml:space="preserve">Transporta gadījumā </w:t>
            </w:r>
            <w:r w:rsidR="00BF053E" w:rsidRPr="00A830FD">
              <w:rPr>
                <w:rFonts w:ascii="Times New Roman" w:hAnsi="Times New Roman" w:cs="Times New Roman"/>
                <w:color w:val="4F4F4F"/>
              </w:rPr>
              <w:t xml:space="preserve">par nākamajiem </w:t>
            </w:r>
            <w:r w:rsidR="008E2362" w:rsidRPr="00A830FD">
              <w:rPr>
                <w:rFonts w:ascii="Times New Roman" w:hAnsi="Times New Roman" w:cs="Times New Roman"/>
                <w:color w:val="4F4F4F"/>
              </w:rPr>
              <w:t>apmācību</w:t>
            </w:r>
            <w:r w:rsidR="00BF053E" w:rsidRPr="00A830FD">
              <w:rPr>
                <w:rFonts w:ascii="Times New Roman" w:hAnsi="Times New Roman" w:cs="Times New Roman"/>
                <w:color w:val="4F4F4F"/>
              </w:rPr>
              <w:t xml:space="preserve"> mēnešiem ikmēneša finanšu atlīdzība nepārsniedz 150 </w:t>
            </w:r>
            <w:proofErr w:type="spellStart"/>
            <w:r w:rsidR="00BF053E" w:rsidRPr="00A830FD">
              <w:rPr>
                <w:rFonts w:ascii="Times New Roman" w:hAnsi="Times New Roman" w:cs="Times New Roman"/>
                <w:color w:val="4F4F4F"/>
              </w:rPr>
              <w:t>euro</w:t>
            </w:r>
            <w:proofErr w:type="spellEnd"/>
            <w:r w:rsidR="00BF053E" w:rsidRPr="00A830FD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="008E2362" w:rsidRPr="00A830FD">
              <w:rPr>
                <w:rFonts w:ascii="Times New Roman" w:hAnsi="Times New Roman" w:cs="Times New Roman"/>
                <w:color w:val="4F4F4F"/>
              </w:rPr>
              <w:t>par pilnu apmācību mēnesi</w:t>
            </w:r>
            <w:r w:rsidR="00BF053E" w:rsidRPr="00A830FD">
              <w:rPr>
                <w:rFonts w:ascii="Times New Roman" w:hAnsi="Times New Roman" w:cs="Times New Roman"/>
                <w:color w:val="4F4F4F"/>
              </w:rPr>
              <w:t>. To aprēķina, piemērojot Finanšu ministrijas izstrādāto vienas vienības izmaksu standarta likmes aprēķina un piemērošanas metodiku viena kilometra izmaksām darbības programmas "Izaugsme un nodarbinātība" īstenošanai, nosakot at</w:t>
            </w:r>
            <w:r w:rsidR="008E2362" w:rsidRPr="00A830FD">
              <w:rPr>
                <w:rFonts w:ascii="Times New Roman" w:hAnsi="Times New Roman" w:cs="Times New Roman"/>
                <w:color w:val="4F4F4F"/>
              </w:rPr>
              <w:t>tālumu kilometros no bezdarbnieka</w:t>
            </w:r>
            <w:r w:rsidR="00BF053E" w:rsidRPr="00A830FD">
              <w:rPr>
                <w:rFonts w:ascii="Times New Roman" w:hAnsi="Times New Roman" w:cs="Times New Roman"/>
                <w:color w:val="4F4F4F"/>
              </w:rPr>
              <w:t xml:space="preserve"> izvēlētās reģionālās starppilsētu nozīmes</w:t>
            </w:r>
            <w:proofErr w:type="gramStart"/>
            <w:r w:rsidR="00BF053E" w:rsidRPr="00A830FD">
              <w:rPr>
                <w:rFonts w:ascii="Times New Roman" w:hAnsi="Times New Roman" w:cs="Times New Roman"/>
                <w:color w:val="4F4F4F"/>
              </w:rPr>
              <w:t xml:space="preserve"> vai reģionālās vietējās nozīmes sabiedriskā transporta maršruta sākuma pieturvietas līdz </w:t>
            </w:r>
            <w:r w:rsidR="008E2362" w:rsidRPr="00A830FD">
              <w:rPr>
                <w:rFonts w:ascii="Times New Roman" w:hAnsi="Times New Roman" w:cs="Times New Roman"/>
                <w:color w:val="4F4F4F"/>
              </w:rPr>
              <w:t>gala pieturvietai, lai nokļūtu apmācību vietā</w:t>
            </w:r>
            <w:r w:rsidR="00BF053E" w:rsidRPr="00A830FD">
              <w:rPr>
                <w:rFonts w:ascii="Times New Roman" w:hAnsi="Times New Roman" w:cs="Times New Roman"/>
                <w:color w:val="4F4F4F"/>
              </w:rPr>
              <w:t xml:space="preserve"> un atpakaļ</w:t>
            </w:r>
            <w:proofErr w:type="gramEnd"/>
            <w:r w:rsidR="00BF053E" w:rsidRPr="00A830FD">
              <w:rPr>
                <w:rFonts w:ascii="Times New Roman" w:hAnsi="Times New Roman" w:cs="Times New Roman"/>
                <w:color w:val="4F4F4F"/>
              </w:rPr>
              <w:t>, un reizinot to ar sabiedriskā transporta izmaksu likmi par kilometru, izņemot gadījumus, j</w:t>
            </w:r>
            <w:r w:rsidR="008E2362" w:rsidRPr="00A830FD">
              <w:rPr>
                <w:rFonts w:ascii="Times New Roman" w:hAnsi="Times New Roman" w:cs="Times New Roman"/>
                <w:color w:val="4F4F4F"/>
              </w:rPr>
              <w:t>a bezdarbniekam</w:t>
            </w:r>
            <w:r w:rsidR="00BF053E" w:rsidRPr="00A830FD">
              <w:rPr>
                <w:rFonts w:ascii="Times New Roman" w:hAnsi="Times New Roman" w:cs="Times New Roman"/>
                <w:color w:val="4F4F4F"/>
              </w:rPr>
              <w:t xml:space="preserve"> piemēro sabiedriskā transporta braukšanas maksas atvieglojumu 100 % apmērā no biļetes cenas. Attālumu kilometros no </w:t>
            </w:r>
            <w:r w:rsidR="008E2362" w:rsidRPr="00A830FD">
              <w:rPr>
                <w:rFonts w:ascii="Times New Roman" w:hAnsi="Times New Roman" w:cs="Times New Roman"/>
                <w:color w:val="4F4F4F"/>
              </w:rPr>
              <w:t>bezdarbnieka</w:t>
            </w:r>
            <w:r w:rsidR="00BF053E" w:rsidRPr="00A830FD">
              <w:rPr>
                <w:rFonts w:ascii="Times New Roman" w:hAnsi="Times New Roman" w:cs="Times New Roman"/>
                <w:color w:val="4F4F4F"/>
              </w:rPr>
              <w:t xml:space="preserve"> de</w:t>
            </w:r>
            <w:r w:rsidR="008E2362" w:rsidRPr="00A830FD">
              <w:rPr>
                <w:rFonts w:ascii="Times New Roman" w:hAnsi="Times New Roman" w:cs="Times New Roman"/>
                <w:color w:val="4F4F4F"/>
              </w:rPr>
              <w:t xml:space="preserve">klarētās dzīvesvietas līdz apmācību </w:t>
            </w:r>
            <w:r w:rsidR="00BF053E" w:rsidRPr="00A830FD">
              <w:rPr>
                <w:rFonts w:ascii="Times New Roman" w:hAnsi="Times New Roman" w:cs="Times New Roman"/>
                <w:color w:val="4F4F4F"/>
              </w:rPr>
              <w:t>vietai un atpakaļ reizina ar likmi degvielas izmaksu segšanai vieglajam transportlīdzeklim, ja pastāv vismaz viens no šādiem nosacījumiem:</w:t>
            </w:r>
          </w:p>
          <w:p w:rsidR="00BF053E" w:rsidRPr="00A830FD" w:rsidRDefault="00BF053E" w:rsidP="008E2362">
            <w:pPr>
              <w:numPr>
                <w:ilvl w:val="0"/>
                <w:numId w:val="13"/>
              </w:num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color w:val="4F4F4F"/>
              </w:rPr>
              <w:t xml:space="preserve">attālums no deklarētās dzīvesvietas līdz nokļūšanai </w:t>
            </w:r>
            <w:r w:rsidR="00015C46">
              <w:rPr>
                <w:rFonts w:ascii="Times New Roman" w:hAnsi="Times New Roman" w:cs="Times New Roman"/>
                <w:color w:val="4F4F4F"/>
              </w:rPr>
              <w:t>apmācību vietā</w:t>
            </w:r>
            <w:r w:rsidRPr="00A830FD">
              <w:rPr>
                <w:rFonts w:ascii="Times New Roman" w:hAnsi="Times New Roman" w:cs="Times New Roman"/>
                <w:color w:val="4F4F4F"/>
              </w:rPr>
              <w:t xml:space="preserve"> nepieciešamā sabiedriskā transporta pieturvietai pārsniedz 2 km;</w:t>
            </w:r>
          </w:p>
          <w:p w:rsidR="00BF053E" w:rsidRPr="00A830FD" w:rsidRDefault="00BF053E" w:rsidP="008E2362">
            <w:pPr>
              <w:numPr>
                <w:ilvl w:val="0"/>
                <w:numId w:val="13"/>
              </w:num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color w:val="4F4F4F"/>
              </w:rPr>
              <w:t xml:space="preserve">sabiedriskā transporta kustības grafiks nenodrošina nokļūšanu </w:t>
            </w:r>
            <w:r w:rsidR="00015C46">
              <w:rPr>
                <w:rFonts w:ascii="Times New Roman" w:hAnsi="Times New Roman" w:cs="Times New Roman"/>
                <w:color w:val="4F4F4F"/>
              </w:rPr>
              <w:t>apmācību vietā</w:t>
            </w:r>
            <w:r w:rsidRPr="00A830FD">
              <w:rPr>
                <w:rFonts w:ascii="Times New Roman" w:hAnsi="Times New Roman" w:cs="Times New Roman"/>
                <w:color w:val="4F4F4F"/>
              </w:rPr>
              <w:t xml:space="preserve"> vienas stundas laikā pirms darba sākuma vai nenodrošina izbraukšanu no </w:t>
            </w:r>
            <w:r w:rsidR="00015C46">
              <w:rPr>
                <w:rFonts w:ascii="Times New Roman" w:hAnsi="Times New Roman" w:cs="Times New Roman"/>
                <w:color w:val="4F4F4F"/>
              </w:rPr>
              <w:t>apmācību vietas</w:t>
            </w:r>
            <w:r w:rsidRPr="00A830FD">
              <w:rPr>
                <w:rFonts w:ascii="Times New Roman" w:hAnsi="Times New Roman" w:cs="Times New Roman"/>
                <w:color w:val="4F4F4F"/>
              </w:rPr>
              <w:t xml:space="preserve"> stundas laikā pēc </w:t>
            </w:r>
            <w:r w:rsidR="00015C46">
              <w:rPr>
                <w:rFonts w:ascii="Times New Roman" w:hAnsi="Times New Roman" w:cs="Times New Roman"/>
                <w:color w:val="4F4F4F"/>
              </w:rPr>
              <w:t>apmācību</w:t>
            </w:r>
            <w:r w:rsidRPr="00A830FD">
              <w:rPr>
                <w:rFonts w:ascii="Times New Roman" w:hAnsi="Times New Roman" w:cs="Times New Roman"/>
                <w:color w:val="4F4F4F"/>
              </w:rPr>
              <w:t xml:space="preserve"> beigām;</w:t>
            </w:r>
          </w:p>
          <w:p w:rsidR="00BF053E" w:rsidRPr="00A830FD" w:rsidRDefault="00BF053E" w:rsidP="008E2362">
            <w:pPr>
              <w:numPr>
                <w:ilvl w:val="0"/>
                <w:numId w:val="13"/>
              </w:num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color w:val="4F4F4F"/>
              </w:rPr>
              <w:t>pasākumā iesais</w:t>
            </w:r>
            <w:r w:rsidR="00015C46">
              <w:rPr>
                <w:rFonts w:ascii="Times New Roman" w:hAnsi="Times New Roman" w:cs="Times New Roman"/>
                <w:color w:val="4F4F4F"/>
              </w:rPr>
              <w:t>ta nodarbināto ar invaliditāti.</w:t>
            </w:r>
          </w:p>
          <w:p w:rsidR="00015C46" w:rsidRDefault="00BF053E" w:rsidP="00015C46">
            <w:pPr>
              <w:numPr>
                <w:ilvl w:val="0"/>
                <w:numId w:val="10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D918E0">
              <w:rPr>
                <w:rFonts w:ascii="Times New Roman" w:hAnsi="Times New Roman" w:cs="Times New Roman"/>
                <w:color w:val="4F4F4F"/>
              </w:rPr>
              <w:t>Ja atlīdzības saņēmējam kompensē</w:t>
            </w:r>
            <w:r w:rsidRPr="00A830FD">
              <w:rPr>
                <w:color w:val="4F4F4F"/>
              </w:rPr>
              <w:t xml:space="preserve"> </w:t>
            </w:r>
            <w:r w:rsidRPr="00D918E0">
              <w:rPr>
                <w:rFonts w:ascii="Times New Roman" w:hAnsi="Times New Roman" w:cs="Times New Roman"/>
                <w:b/>
                <w:color w:val="4F4F4F"/>
              </w:rPr>
              <w:t>dzīvojamās telpas īres izdevumus</w:t>
            </w:r>
            <w:r w:rsidRPr="00A830FD">
              <w:rPr>
                <w:color w:val="4F4F4F"/>
              </w:rPr>
              <w:t xml:space="preserve">, </w:t>
            </w:r>
            <w:r w:rsidR="00015C46">
              <w:rPr>
                <w:color w:val="4F4F4F"/>
              </w:rPr>
              <w:t>t</w:t>
            </w:r>
            <w:r w:rsidR="00015C46" w:rsidRPr="00D918E0">
              <w:rPr>
                <w:rFonts w:ascii="Times New Roman" w:hAnsi="Times New Roman" w:cs="Times New Roman"/>
                <w:color w:val="4F4F4F"/>
              </w:rPr>
              <w:t xml:space="preserve">ad </w:t>
            </w:r>
            <w:r w:rsidRPr="00D918E0">
              <w:rPr>
                <w:rFonts w:ascii="Times New Roman" w:hAnsi="Times New Roman" w:cs="Times New Roman"/>
                <w:color w:val="4F4F4F"/>
              </w:rPr>
              <w:t xml:space="preserve">pēc pirmā </w:t>
            </w:r>
            <w:r w:rsidR="008E2362" w:rsidRPr="00D918E0">
              <w:rPr>
                <w:rFonts w:ascii="Times New Roman" w:hAnsi="Times New Roman" w:cs="Times New Roman"/>
                <w:color w:val="4F4F4F"/>
              </w:rPr>
              <w:t xml:space="preserve">apmācību </w:t>
            </w:r>
            <w:r w:rsidR="00015C46" w:rsidRPr="00D918E0">
              <w:rPr>
                <w:rFonts w:ascii="Times New Roman" w:hAnsi="Times New Roman" w:cs="Times New Roman"/>
                <w:color w:val="4F4F4F"/>
              </w:rPr>
              <w:t xml:space="preserve">mēneša beigām </w:t>
            </w:r>
            <w:r w:rsidR="00B62072" w:rsidRPr="00D918E0">
              <w:rPr>
                <w:rFonts w:ascii="Times New Roman" w:hAnsi="Times New Roman" w:cs="Times New Roman"/>
                <w:color w:val="4F4F4F"/>
              </w:rPr>
              <w:t xml:space="preserve">lēmumā </w:t>
            </w:r>
            <w:r w:rsidR="00015C46" w:rsidRPr="00D918E0">
              <w:rPr>
                <w:rFonts w:ascii="Times New Roman" w:hAnsi="Times New Roman" w:cs="Times New Roman"/>
                <w:color w:val="4F4F4F"/>
              </w:rPr>
              <w:t xml:space="preserve">norādītajā datumā NVA filiālē jāiesniedz </w:t>
            </w:r>
            <w:proofErr w:type="gramStart"/>
            <w:r w:rsidR="00B62072" w:rsidRPr="00D918E0">
              <w:rPr>
                <w:rFonts w:ascii="Times New Roman" w:hAnsi="Times New Roman" w:cs="Times New Roman"/>
                <w:color w:val="4F4F4F"/>
              </w:rPr>
              <w:t>izdevumus apliecinošus dokumentus par pirmo apmācību mēnesi - finanšu atlīdzības pamatojumu.</w:t>
            </w:r>
            <w:proofErr w:type="gramEnd"/>
            <w:r w:rsidR="00B62072" w:rsidRPr="00D918E0">
              <w:rPr>
                <w:rFonts w:ascii="Times New Roman" w:hAnsi="Times New Roman" w:cs="Times New Roman"/>
                <w:color w:val="4F4F4F"/>
              </w:rPr>
              <w:t xml:space="preserve"> Kuram klāt ir pievienots </w:t>
            </w:r>
            <w:r w:rsidR="00015C46" w:rsidRPr="00D918E0">
              <w:rPr>
                <w:rFonts w:ascii="Times New Roman" w:hAnsi="Times New Roman" w:cs="Times New Roman"/>
                <w:color w:val="4F4F4F"/>
              </w:rPr>
              <w:t>maksājumu apliecinošs dokuments, kur</w:t>
            </w:r>
            <w:r w:rsidR="00A830FD" w:rsidRPr="00D918E0">
              <w:rPr>
                <w:rFonts w:ascii="Times New Roman" w:hAnsi="Times New Roman" w:cs="Times New Roman"/>
                <w:color w:val="4F4F4F"/>
              </w:rPr>
              <w:t xml:space="preserve"> jābūt norādītam noslēgtā dzīvojamās</w:t>
            </w:r>
            <w:r w:rsidR="00015C46" w:rsidRPr="00D918E0">
              <w:rPr>
                <w:rFonts w:ascii="Times New Roman" w:hAnsi="Times New Roman" w:cs="Times New Roman"/>
                <w:color w:val="4F4F4F"/>
              </w:rPr>
              <w:t xml:space="preserve"> t</w:t>
            </w:r>
            <w:r w:rsidR="00A830FD" w:rsidRPr="00D918E0">
              <w:rPr>
                <w:rFonts w:ascii="Times New Roman" w:hAnsi="Times New Roman" w:cs="Times New Roman"/>
                <w:color w:val="4F4F4F"/>
              </w:rPr>
              <w:t>elpas īres vai dzīvošanas dienesta viesnīcā apliecinošā dokumenta (līguma) numuram un datumam</w:t>
            </w:r>
            <w:r w:rsidR="00B62072" w:rsidRPr="00D918E0">
              <w:rPr>
                <w:rFonts w:ascii="Times New Roman" w:hAnsi="Times New Roman" w:cs="Times New Roman"/>
                <w:color w:val="4F4F4F"/>
              </w:rPr>
              <w:t>, kā arī šī īres līguma kopija</w:t>
            </w:r>
            <w:r w:rsidR="00A830FD" w:rsidRPr="00D918E0">
              <w:rPr>
                <w:rFonts w:ascii="Times New Roman" w:hAnsi="Times New Roman" w:cs="Times New Roman"/>
                <w:color w:val="4F4F4F"/>
              </w:rPr>
              <w:t xml:space="preserve">. </w:t>
            </w:r>
            <w:r w:rsidR="00015C46">
              <w:rPr>
                <w:rFonts w:ascii="Times New Roman" w:hAnsi="Times New Roman" w:cs="Times New Roman"/>
                <w:i/>
                <w:color w:val="4F4F4F"/>
              </w:rPr>
              <w:t>P</w:t>
            </w:r>
            <w:r w:rsidR="00015C46" w:rsidRPr="00F077DB">
              <w:rPr>
                <w:rFonts w:ascii="Times New Roman" w:hAnsi="Times New Roman" w:cs="Times New Roman"/>
                <w:i/>
                <w:color w:val="4F4F4F"/>
              </w:rPr>
              <w:t>ar dzīvojamās telpas īri</w:t>
            </w:r>
            <w:r w:rsidR="00015C46" w:rsidRPr="00A830FD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="00015C46">
              <w:rPr>
                <w:rFonts w:ascii="Times New Roman" w:hAnsi="Times New Roman" w:cs="Times New Roman"/>
                <w:color w:val="4F4F4F"/>
              </w:rPr>
              <w:t xml:space="preserve">izmaksas </w:t>
            </w:r>
            <w:proofErr w:type="gramStart"/>
            <w:r w:rsidR="00015C46">
              <w:rPr>
                <w:rFonts w:ascii="Times New Roman" w:hAnsi="Times New Roman" w:cs="Times New Roman"/>
                <w:color w:val="4F4F4F"/>
              </w:rPr>
              <w:t>nākošajiem mēnešiem</w:t>
            </w:r>
            <w:proofErr w:type="gramEnd"/>
            <w:r w:rsidR="00015C46" w:rsidRPr="00A830FD">
              <w:rPr>
                <w:rFonts w:ascii="Times New Roman" w:hAnsi="Times New Roman" w:cs="Times New Roman"/>
                <w:color w:val="4F4F4F"/>
              </w:rPr>
              <w:t xml:space="preserve"> aprēķina, ņemot vērā pirmajā mēnesī radušās faktiskās izmaksas</w:t>
            </w:r>
            <w:r w:rsidR="00015C46" w:rsidRPr="00F077DB">
              <w:rPr>
                <w:rFonts w:ascii="Times New Roman" w:hAnsi="Times New Roman" w:cs="Times New Roman"/>
                <w:i/>
                <w:color w:val="4F4F4F"/>
              </w:rPr>
              <w:t>.</w:t>
            </w:r>
            <w:r w:rsidR="00015C46">
              <w:rPr>
                <w:rFonts w:ascii="Times New Roman" w:hAnsi="Times New Roman" w:cs="Times New Roman"/>
                <w:color w:val="4F4F4F"/>
              </w:rPr>
              <w:t xml:space="preserve"> </w:t>
            </w:r>
          </w:p>
          <w:p w:rsidR="00015C46" w:rsidRDefault="00015C46" w:rsidP="00015C46">
            <w:pPr>
              <w:spacing w:after="0" w:line="255" w:lineRule="atLeast"/>
              <w:ind w:left="720"/>
              <w:jc w:val="both"/>
              <w:rPr>
                <w:rFonts w:ascii="Times New Roman" w:hAnsi="Times New Roman" w:cs="Times New Roman"/>
                <w:color w:val="4F4F4F"/>
              </w:rPr>
            </w:pPr>
          </w:p>
          <w:p w:rsidR="00015C46" w:rsidRDefault="00015C46" w:rsidP="00015C46">
            <w:pPr>
              <w:numPr>
                <w:ilvl w:val="0"/>
                <w:numId w:val="10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color w:val="4F4F4F"/>
              </w:rPr>
              <w:t xml:space="preserve">par </w:t>
            </w:r>
            <w:r>
              <w:rPr>
                <w:rFonts w:ascii="Times New Roman" w:hAnsi="Times New Roman" w:cs="Times New Roman"/>
                <w:color w:val="4F4F4F"/>
              </w:rPr>
              <w:t>nākamajiem apmācību mēnešiem</w:t>
            </w:r>
            <w:r w:rsidRPr="00A830FD">
              <w:rPr>
                <w:rFonts w:ascii="Times New Roman" w:hAnsi="Times New Roman" w:cs="Times New Roman"/>
                <w:color w:val="4F4F4F"/>
              </w:rPr>
              <w:t xml:space="preserve"> finanšu atlīdzību izmaksā līdz 150 </w:t>
            </w:r>
            <w:proofErr w:type="spellStart"/>
            <w:r w:rsidRPr="00A830FD">
              <w:rPr>
                <w:rFonts w:ascii="Times New Roman" w:hAnsi="Times New Roman" w:cs="Times New Roman"/>
                <w:color w:val="4F4F4F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color w:val="4F4F4F"/>
              </w:rPr>
              <w:t>, proporcionāli apmācību apmeklējumam</w:t>
            </w:r>
            <w:r w:rsidRPr="00A830FD">
              <w:rPr>
                <w:rFonts w:ascii="Times New Roman" w:hAnsi="Times New Roman" w:cs="Times New Roman"/>
                <w:color w:val="4F4F4F"/>
              </w:rPr>
              <w:t>;</w:t>
            </w:r>
            <w:r>
              <w:rPr>
                <w:rFonts w:ascii="Times New Roman" w:hAnsi="Times New Roman" w:cs="Times New Roman"/>
                <w:color w:val="4F4F4F"/>
              </w:rPr>
              <w:t xml:space="preserve"> </w:t>
            </w:r>
          </w:p>
          <w:p w:rsidR="00015C46" w:rsidRPr="00015C46" w:rsidRDefault="00015C46" w:rsidP="00015C46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</w:p>
          <w:p w:rsidR="00015C46" w:rsidRDefault="00015C46" w:rsidP="00015C46">
            <w:pPr>
              <w:numPr>
                <w:ilvl w:val="0"/>
                <w:numId w:val="10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color w:val="4F4F4F"/>
              </w:rPr>
            </w:pPr>
            <w:r>
              <w:rPr>
                <w:rFonts w:ascii="Times New Roman" w:hAnsi="Times New Roman" w:cs="Times New Roman"/>
                <w:color w:val="4F4F4F"/>
              </w:rPr>
              <w:t>Izmaksas tiek veiktas</w:t>
            </w:r>
            <w:r w:rsidRPr="00A830FD">
              <w:rPr>
                <w:rFonts w:ascii="Times New Roman" w:hAnsi="Times New Roman" w:cs="Times New Roman"/>
                <w:color w:val="4F4F4F"/>
              </w:rPr>
              <w:t xml:space="preserve"> viena mēneša laikā pēc iepriekšējā </w:t>
            </w:r>
            <w:r>
              <w:rPr>
                <w:rFonts w:ascii="Times New Roman" w:hAnsi="Times New Roman" w:cs="Times New Roman"/>
                <w:color w:val="4F4F4F"/>
              </w:rPr>
              <w:t>apmācību</w:t>
            </w:r>
            <w:r w:rsidRPr="00A830FD">
              <w:rPr>
                <w:rFonts w:ascii="Times New Roman" w:hAnsi="Times New Roman" w:cs="Times New Roman"/>
                <w:color w:val="4F4F4F"/>
              </w:rPr>
              <w:t xml:space="preserve"> mēneša beigām. </w:t>
            </w:r>
          </w:p>
          <w:p w:rsidR="00015C46" w:rsidRPr="00F077DB" w:rsidRDefault="00015C46" w:rsidP="00015C46">
            <w:pPr>
              <w:spacing w:after="0" w:line="255" w:lineRule="atLeast"/>
              <w:ind w:left="720"/>
              <w:jc w:val="both"/>
              <w:rPr>
                <w:rFonts w:ascii="Times New Roman" w:hAnsi="Times New Roman" w:cs="Times New Roman"/>
                <w:i/>
                <w:color w:val="4F4F4F"/>
              </w:rPr>
            </w:pPr>
          </w:p>
          <w:p w:rsidR="00BF053E" w:rsidRPr="00A830FD" w:rsidRDefault="00BF053E">
            <w:pPr>
              <w:pStyle w:val="NormalWeb"/>
              <w:spacing w:line="255" w:lineRule="atLeast"/>
              <w:jc w:val="both"/>
              <w:rPr>
                <w:color w:val="4F4F4F"/>
                <w:sz w:val="22"/>
                <w:szCs w:val="22"/>
                <w:lang w:val="lv-LV"/>
              </w:rPr>
            </w:pPr>
          </w:p>
          <w:p w:rsidR="00F077DB" w:rsidRDefault="00BF053E" w:rsidP="00D918E0">
            <w:pPr>
              <w:pStyle w:val="NormalWeb"/>
              <w:spacing w:line="255" w:lineRule="atLeast"/>
              <w:jc w:val="both"/>
              <w:rPr>
                <w:color w:val="4F4F4F"/>
              </w:rPr>
            </w:pPr>
            <w:r w:rsidRPr="00A830FD">
              <w:rPr>
                <w:b/>
                <w:bCs/>
                <w:color w:val="4F4F4F"/>
                <w:sz w:val="22"/>
                <w:szCs w:val="22"/>
                <w:lang w:val="lv-LV"/>
              </w:rPr>
              <w:t>Finanšu atlīdzību izmaksā, pārskaitot to uz atlīdzības saņēmēja norā</w:t>
            </w:r>
            <w:r w:rsidR="00015C46">
              <w:rPr>
                <w:b/>
                <w:bCs/>
                <w:color w:val="4F4F4F"/>
                <w:sz w:val="22"/>
                <w:szCs w:val="22"/>
                <w:lang w:val="lv-LV"/>
              </w:rPr>
              <w:t xml:space="preserve">dīto </w:t>
            </w:r>
            <w:r w:rsidR="00767B38" w:rsidRPr="007B710A">
              <w:rPr>
                <w:b/>
                <w:bCs/>
                <w:color w:val="4F4F4F"/>
                <w:sz w:val="22"/>
                <w:szCs w:val="22"/>
                <w:lang w:val="lv-LV"/>
              </w:rPr>
              <w:t>personīgo</w:t>
            </w:r>
            <w:r w:rsidR="00767B38">
              <w:rPr>
                <w:b/>
                <w:bCs/>
                <w:color w:val="4F4F4F"/>
                <w:sz w:val="22"/>
                <w:szCs w:val="22"/>
                <w:lang w:val="lv-LV"/>
              </w:rPr>
              <w:t xml:space="preserve"> </w:t>
            </w:r>
            <w:r w:rsidR="00015C46">
              <w:rPr>
                <w:b/>
                <w:bCs/>
                <w:color w:val="4F4F4F"/>
                <w:sz w:val="22"/>
                <w:szCs w:val="22"/>
                <w:lang w:val="lv-LV"/>
              </w:rPr>
              <w:t>bankas kontu.</w:t>
            </w:r>
            <w:bookmarkStart w:id="0" w:name="_GoBack"/>
            <w:bookmarkEnd w:id="0"/>
          </w:p>
          <w:p w:rsidR="00BF053E" w:rsidRPr="00A830FD" w:rsidRDefault="00BF053E">
            <w:pPr>
              <w:pStyle w:val="NormalWeb"/>
              <w:spacing w:line="255" w:lineRule="atLeast"/>
              <w:jc w:val="right"/>
              <w:rPr>
                <w:color w:val="4F4F4F"/>
                <w:sz w:val="22"/>
                <w:szCs w:val="22"/>
              </w:rPr>
            </w:pPr>
          </w:p>
        </w:tc>
        <w:tc>
          <w:tcPr>
            <w:tcW w:w="737" w:type="pct"/>
            <w:vAlign w:val="center"/>
            <w:hideMark/>
          </w:tcPr>
          <w:p w:rsidR="00BF053E" w:rsidRPr="00A830FD" w:rsidRDefault="00BF053E">
            <w:pPr>
              <w:spacing w:line="255" w:lineRule="atLeast"/>
              <w:rPr>
                <w:rFonts w:ascii="Times New Roman" w:hAnsi="Times New Roman" w:cs="Times New Roman"/>
                <w:color w:val="4F4F4F"/>
              </w:rPr>
            </w:pPr>
            <w:r w:rsidRPr="00A830FD">
              <w:rPr>
                <w:rFonts w:ascii="Times New Roman" w:hAnsi="Times New Roman" w:cs="Times New Roman"/>
                <w:noProof/>
                <w:color w:val="4F4F4F"/>
                <w:lang w:eastAsia="lv-LV"/>
              </w:rPr>
              <w:lastRenderedPageBreak/>
              <w:drawing>
                <wp:inline distT="0" distB="0" distL="0" distR="0">
                  <wp:extent cx="95250" cy="9525"/>
                  <wp:effectExtent l="0" t="0" r="0" b="0"/>
                  <wp:docPr id="1" name="Picture 1" descr="http://www.nva.gov.lv/img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va.gov.lv/img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53E" w:rsidRPr="00A830FD" w:rsidRDefault="00BF053E" w:rsidP="00F077DB">
      <w:pPr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sectPr w:rsidR="00BF053E" w:rsidRPr="00A830FD" w:rsidSect="009C0525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E1" w:rsidRDefault="007147E1" w:rsidP="0061748E">
      <w:pPr>
        <w:spacing w:after="0" w:line="240" w:lineRule="auto"/>
      </w:pPr>
      <w:r>
        <w:separator/>
      </w:r>
    </w:p>
  </w:endnote>
  <w:endnote w:type="continuationSeparator" w:id="0">
    <w:p w:rsidR="007147E1" w:rsidRDefault="007147E1" w:rsidP="0061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E1" w:rsidRDefault="007147E1" w:rsidP="0061748E">
      <w:pPr>
        <w:spacing w:after="0" w:line="240" w:lineRule="auto"/>
      </w:pPr>
      <w:r>
        <w:separator/>
      </w:r>
    </w:p>
  </w:footnote>
  <w:footnote w:type="continuationSeparator" w:id="0">
    <w:p w:rsidR="007147E1" w:rsidRDefault="007147E1" w:rsidP="0061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45B"/>
    <w:multiLevelType w:val="multilevel"/>
    <w:tmpl w:val="26A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826AA"/>
    <w:multiLevelType w:val="multilevel"/>
    <w:tmpl w:val="043E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8028F"/>
    <w:multiLevelType w:val="multilevel"/>
    <w:tmpl w:val="B80C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97E0D"/>
    <w:multiLevelType w:val="hybridMultilevel"/>
    <w:tmpl w:val="1A92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7879"/>
    <w:multiLevelType w:val="multilevel"/>
    <w:tmpl w:val="3D2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A0DCD"/>
    <w:multiLevelType w:val="hybridMultilevel"/>
    <w:tmpl w:val="AA38C2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C2B4D"/>
    <w:multiLevelType w:val="hybridMultilevel"/>
    <w:tmpl w:val="C5827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0F2E"/>
    <w:multiLevelType w:val="multilevel"/>
    <w:tmpl w:val="21F4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601DF"/>
    <w:multiLevelType w:val="multilevel"/>
    <w:tmpl w:val="F3EE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20063"/>
    <w:multiLevelType w:val="hybridMultilevel"/>
    <w:tmpl w:val="28C4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3EFC"/>
    <w:multiLevelType w:val="multilevel"/>
    <w:tmpl w:val="1D2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5B71"/>
    <w:multiLevelType w:val="multilevel"/>
    <w:tmpl w:val="7F16D5BE"/>
    <w:lvl w:ilvl="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C43698"/>
    <w:multiLevelType w:val="multilevel"/>
    <w:tmpl w:val="258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91426"/>
    <w:multiLevelType w:val="multilevel"/>
    <w:tmpl w:val="3D9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21B87"/>
    <w:multiLevelType w:val="multilevel"/>
    <w:tmpl w:val="80D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952CA1"/>
    <w:multiLevelType w:val="hybridMultilevel"/>
    <w:tmpl w:val="C7045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0"/>
  </w:num>
  <w:num w:numId="12">
    <w:abstractNumId w:val="4"/>
  </w:num>
  <w:num w:numId="13">
    <w:abstractNumId w:val="11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1F"/>
    <w:rsid w:val="00015C46"/>
    <w:rsid w:val="000A6DAA"/>
    <w:rsid w:val="000C540D"/>
    <w:rsid w:val="0012386F"/>
    <w:rsid w:val="0023534F"/>
    <w:rsid w:val="002F3177"/>
    <w:rsid w:val="00301A4A"/>
    <w:rsid w:val="0034181F"/>
    <w:rsid w:val="003424D8"/>
    <w:rsid w:val="00374589"/>
    <w:rsid w:val="00394C11"/>
    <w:rsid w:val="00412657"/>
    <w:rsid w:val="00477AAF"/>
    <w:rsid w:val="005E3E30"/>
    <w:rsid w:val="0061748E"/>
    <w:rsid w:val="00625009"/>
    <w:rsid w:val="00660967"/>
    <w:rsid w:val="00662DEF"/>
    <w:rsid w:val="007147E1"/>
    <w:rsid w:val="0076068F"/>
    <w:rsid w:val="007658DC"/>
    <w:rsid w:val="00767B38"/>
    <w:rsid w:val="007B710A"/>
    <w:rsid w:val="00826103"/>
    <w:rsid w:val="00831F4F"/>
    <w:rsid w:val="008A65DF"/>
    <w:rsid w:val="008B54C4"/>
    <w:rsid w:val="008E2362"/>
    <w:rsid w:val="00944E9F"/>
    <w:rsid w:val="009B39DC"/>
    <w:rsid w:val="009C0525"/>
    <w:rsid w:val="009D1A14"/>
    <w:rsid w:val="00A830FD"/>
    <w:rsid w:val="00AF601E"/>
    <w:rsid w:val="00B62072"/>
    <w:rsid w:val="00BA3413"/>
    <w:rsid w:val="00BB1897"/>
    <w:rsid w:val="00BF053E"/>
    <w:rsid w:val="00C118BD"/>
    <w:rsid w:val="00C671E4"/>
    <w:rsid w:val="00CA55D2"/>
    <w:rsid w:val="00CD6810"/>
    <w:rsid w:val="00D918E0"/>
    <w:rsid w:val="00DB6718"/>
    <w:rsid w:val="00DD5DBC"/>
    <w:rsid w:val="00E231A9"/>
    <w:rsid w:val="00E26C50"/>
    <w:rsid w:val="00F077DB"/>
    <w:rsid w:val="00F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529F61-82B6-4F6D-90A9-D608415F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181F"/>
    <w:rPr>
      <w:b/>
      <w:bCs/>
    </w:rPr>
  </w:style>
  <w:style w:type="character" w:styleId="Emphasis">
    <w:name w:val="Emphasis"/>
    <w:basedOn w:val="DefaultParagraphFont"/>
    <w:uiPriority w:val="20"/>
    <w:qFormat/>
    <w:rsid w:val="0034181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418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7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48E"/>
  </w:style>
  <w:style w:type="paragraph" w:styleId="Footer">
    <w:name w:val="footer"/>
    <w:basedOn w:val="Normal"/>
    <w:link w:val="FooterChar"/>
    <w:uiPriority w:val="99"/>
    <w:semiHidden/>
    <w:unhideWhenUsed/>
    <w:rsid w:val="00617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48E"/>
  </w:style>
  <w:style w:type="paragraph" w:styleId="NormalWeb">
    <w:name w:val="Normal (Web)"/>
    <w:basedOn w:val="Normal"/>
    <w:uiPriority w:val="99"/>
    <w:unhideWhenUsed/>
    <w:rsid w:val="00BF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5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66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36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80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40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a.gov.lv/docs/31_5db693daa3d980.79580140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hyperlink" Target="http://www.nva.gov.lv/docs/31_5db2e2b1927d83.10335948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3647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SpulgaP</dc:creator>
  <cp:lastModifiedBy>Olga Petrova</cp:lastModifiedBy>
  <cp:revision>2</cp:revision>
  <cp:lastPrinted>2019-10-25T09:57:00Z</cp:lastPrinted>
  <dcterms:created xsi:type="dcterms:W3CDTF">2019-10-28T07:30:00Z</dcterms:created>
  <dcterms:modified xsi:type="dcterms:W3CDTF">2019-10-28T07:30:00Z</dcterms:modified>
</cp:coreProperties>
</file>