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3AF" w:rsidRPr="008813AF" w:rsidRDefault="008813AF" w:rsidP="008813AF">
      <w:pPr>
        <w:jc w:val="center"/>
        <w:rPr>
          <w:rFonts w:ascii="Bell MT" w:hAnsi="Bell MT"/>
          <w:b/>
          <w:sz w:val="36"/>
          <w:szCs w:val="36"/>
        </w:rPr>
      </w:pPr>
      <w:r w:rsidRPr="008813AF">
        <w:rPr>
          <w:rFonts w:ascii="Bell MT" w:hAnsi="Bell MT"/>
          <w:b/>
          <w:sz w:val="36"/>
          <w:szCs w:val="36"/>
        </w:rPr>
        <w:t>Ja darba vad</w:t>
      </w:r>
      <w:r w:rsidRPr="008813AF">
        <w:rPr>
          <w:rFonts w:ascii="Cambria" w:hAnsi="Cambria" w:cs="Cambria"/>
          <w:b/>
          <w:sz w:val="36"/>
          <w:szCs w:val="36"/>
        </w:rPr>
        <w:t>ī</w:t>
      </w:r>
      <w:r w:rsidRPr="008813AF">
        <w:rPr>
          <w:rFonts w:ascii="Bell MT" w:hAnsi="Bell MT"/>
          <w:b/>
          <w:sz w:val="36"/>
          <w:szCs w:val="36"/>
        </w:rPr>
        <w:t>t</w:t>
      </w:r>
      <w:r w:rsidRPr="008813AF">
        <w:rPr>
          <w:rFonts w:ascii="Cambria" w:hAnsi="Cambria" w:cs="Cambria"/>
          <w:b/>
          <w:sz w:val="36"/>
          <w:szCs w:val="36"/>
        </w:rPr>
        <w:t>ā</w:t>
      </w:r>
      <w:r w:rsidRPr="008813AF">
        <w:rPr>
          <w:rFonts w:ascii="Bell MT" w:hAnsi="Bell MT"/>
          <w:b/>
          <w:sz w:val="36"/>
          <w:szCs w:val="36"/>
        </w:rPr>
        <w:t>jam paredz</w:t>
      </w:r>
      <w:r w:rsidRPr="008813AF">
        <w:rPr>
          <w:rFonts w:ascii="Cambria" w:hAnsi="Cambria" w:cs="Cambria"/>
          <w:b/>
          <w:sz w:val="36"/>
          <w:szCs w:val="36"/>
        </w:rPr>
        <w:t>ē</w:t>
      </w:r>
      <w:r w:rsidRPr="008813AF">
        <w:rPr>
          <w:rFonts w:ascii="Bell MT" w:hAnsi="Bell MT"/>
          <w:b/>
          <w:sz w:val="36"/>
          <w:szCs w:val="36"/>
        </w:rPr>
        <w:t>ts vad</w:t>
      </w:r>
      <w:r w:rsidRPr="008813AF">
        <w:rPr>
          <w:rFonts w:ascii="Cambria" w:hAnsi="Cambria" w:cs="Cambria"/>
          <w:b/>
          <w:sz w:val="36"/>
          <w:szCs w:val="36"/>
        </w:rPr>
        <w:t>ī</w:t>
      </w:r>
      <w:r w:rsidRPr="008813AF">
        <w:rPr>
          <w:rFonts w:ascii="Bell MT" w:hAnsi="Bell MT"/>
          <w:b/>
          <w:sz w:val="36"/>
          <w:szCs w:val="36"/>
        </w:rPr>
        <w:t xml:space="preserve">t darbu </w:t>
      </w:r>
    </w:p>
    <w:p w:rsidR="008813AF" w:rsidRPr="008813AF" w:rsidRDefault="008813AF" w:rsidP="008813AF">
      <w:pPr>
        <w:jc w:val="center"/>
        <w:rPr>
          <w:rFonts w:ascii="Bell MT" w:hAnsi="Bell MT"/>
          <w:b/>
          <w:sz w:val="36"/>
          <w:szCs w:val="36"/>
        </w:rPr>
      </w:pPr>
      <w:r w:rsidRPr="008813AF">
        <w:rPr>
          <w:rFonts w:ascii="Bell MT" w:hAnsi="Bell MT"/>
          <w:b/>
          <w:sz w:val="36"/>
          <w:szCs w:val="36"/>
        </w:rPr>
        <w:t>nepilngad</w:t>
      </w:r>
      <w:r w:rsidRPr="008813AF">
        <w:rPr>
          <w:rFonts w:ascii="Cambria" w:hAnsi="Cambria" w:cs="Cambria"/>
          <w:b/>
          <w:sz w:val="36"/>
          <w:szCs w:val="36"/>
        </w:rPr>
        <w:t>ī</w:t>
      </w:r>
      <w:r w:rsidRPr="008813AF">
        <w:rPr>
          <w:rFonts w:ascii="Bell MT" w:hAnsi="Bell MT"/>
          <w:b/>
          <w:sz w:val="36"/>
          <w:szCs w:val="36"/>
        </w:rPr>
        <w:t>g</w:t>
      </w:r>
      <w:r w:rsidRPr="008813AF">
        <w:rPr>
          <w:rFonts w:ascii="Cambria" w:hAnsi="Cambria" w:cs="Cambria"/>
          <w:b/>
          <w:sz w:val="36"/>
          <w:szCs w:val="36"/>
        </w:rPr>
        <w:t>ā</w:t>
      </w:r>
      <w:r w:rsidRPr="008813AF">
        <w:rPr>
          <w:rFonts w:ascii="Bell MT" w:hAnsi="Bell MT"/>
          <w:b/>
          <w:sz w:val="36"/>
          <w:szCs w:val="36"/>
        </w:rPr>
        <w:t>m person</w:t>
      </w:r>
      <w:r w:rsidRPr="008813AF">
        <w:rPr>
          <w:rFonts w:ascii="Cambria" w:hAnsi="Cambria" w:cs="Cambria"/>
          <w:b/>
          <w:sz w:val="36"/>
          <w:szCs w:val="36"/>
        </w:rPr>
        <w:t>ā</w:t>
      </w:r>
      <w:r w:rsidRPr="008813AF">
        <w:rPr>
          <w:rFonts w:ascii="Bell MT" w:hAnsi="Bell MT"/>
          <w:b/>
          <w:sz w:val="36"/>
          <w:szCs w:val="36"/>
        </w:rPr>
        <w:t>m</w:t>
      </w:r>
    </w:p>
    <w:p w:rsidR="008813AF" w:rsidRDefault="008813AF" w:rsidP="001B47D0">
      <w:pPr>
        <w:jc w:val="both"/>
      </w:pPr>
    </w:p>
    <w:p w:rsidR="001B47D0" w:rsidRPr="008813AF" w:rsidRDefault="001B47D0" w:rsidP="001B47D0">
      <w:pPr>
        <w:jc w:val="both"/>
        <w:rPr>
          <w:rFonts w:ascii="Bookman Old Style" w:hAnsi="Bookman Old Style"/>
          <w:sz w:val="28"/>
          <w:szCs w:val="28"/>
        </w:rPr>
      </w:pPr>
      <w:r w:rsidRPr="008813AF">
        <w:rPr>
          <w:rFonts w:ascii="Bookman Old Style" w:hAnsi="Bookman Old Style"/>
          <w:sz w:val="28"/>
          <w:szCs w:val="28"/>
        </w:rPr>
        <w:t xml:space="preserve">Darba devēja pienākums nodrošināt darba vadītāju skolēnam, kurš palīdzēs apgūt darbam nepieciešamās </w:t>
      </w:r>
      <w:proofErr w:type="spellStart"/>
      <w:r w:rsidRPr="008813AF">
        <w:rPr>
          <w:rFonts w:ascii="Bookman Old Style" w:hAnsi="Bookman Old Style"/>
          <w:sz w:val="28"/>
          <w:szCs w:val="28"/>
        </w:rPr>
        <w:t>pamatprasmes</w:t>
      </w:r>
      <w:proofErr w:type="spellEnd"/>
      <w:r w:rsidRPr="008813AF">
        <w:rPr>
          <w:rFonts w:ascii="Bookman Old Style" w:hAnsi="Bookman Old Style"/>
          <w:sz w:val="28"/>
          <w:szCs w:val="28"/>
        </w:rPr>
        <w:t xml:space="preserve"> un iemaņas, veiks darba laika uzskaiti, kontrolēs skolēna darbu, nodrošinās skolēna uzraudzību darba laikā.</w:t>
      </w:r>
    </w:p>
    <w:p w:rsidR="001B47D0" w:rsidRPr="008813AF" w:rsidRDefault="001B47D0" w:rsidP="001B47D0">
      <w:pPr>
        <w:jc w:val="both"/>
        <w:rPr>
          <w:rFonts w:ascii="Bookman Old Style" w:hAnsi="Bookman Old Style"/>
          <w:sz w:val="28"/>
          <w:szCs w:val="28"/>
        </w:rPr>
      </w:pPr>
      <w:bookmarkStart w:id="0" w:name="_GoBack"/>
      <w:bookmarkEnd w:id="0"/>
    </w:p>
    <w:p w:rsidR="001B47D0" w:rsidRPr="008813AF" w:rsidRDefault="001B47D0" w:rsidP="001B47D0">
      <w:pPr>
        <w:jc w:val="both"/>
        <w:rPr>
          <w:rFonts w:ascii="Bookman Old Style" w:hAnsi="Bookman Old Style"/>
          <w:sz w:val="28"/>
          <w:szCs w:val="28"/>
        </w:rPr>
      </w:pPr>
      <w:r w:rsidRPr="008813AF">
        <w:rPr>
          <w:rFonts w:ascii="Bookman Old Style" w:hAnsi="Bookman Old Style"/>
          <w:sz w:val="28"/>
          <w:szCs w:val="28"/>
        </w:rPr>
        <w:t xml:space="preserve">Ja darba vadītājam paredzēts vadīt darbu nepilngadīgām personām, lai pārliecinātos par darba vadītāja atbilstību Bērnu tiesību aizsardzības likuma 72. panta piektajā un </w:t>
      </w:r>
      <w:proofErr w:type="spellStart"/>
      <w:r w:rsidRPr="008813AF">
        <w:rPr>
          <w:rFonts w:ascii="Bookman Old Style" w:hAnsi="Bookman Old Style"/>
          <w:sz w:val="28"/>
          <w:szCs w:val="28"/>
        </w:rPr>
        <w:t>sesta</w:t>
      </w:r>
      <w:r w:rsidRPr="008813AF">
        <w:rPr>
          <w:rFonts w:ascii="Tahoma" w:hAnsi="Tahoma" w:cs="Tahoma"/>
          <w:sz w:val="28"/>
          <w:szCs w:val="28"/>
        </w:rPr>
        <w:t>﻿</w:t>
      </w:r>
      <w:r w:rsidRPr="008813AF">
        <w:rPr>
          <w:rFonts w:ascii="Bookman Old Style" w:hAnsi="Bookman Old Style"/>
          <w:sz w:val="28"/>
          <w:szCs w:val="28"/>
        </w:rPr>
        <w:t>j</w:t>
      </w:r>
      <w:r w:rsidRPr="008813AF">
        <w:rPr>
          <w:rFonts w:ascii="Bookman Old Style" w:hAnsi="Bookman Old Style" w:cs="Bookman Old Style"/>
          <w:sz w:val="28"/>
          <w:szCs w:val="28"/>
        </w:rPr>
        <w:t>ā</w:t>
      </w:r>
      <w:proofErr w:type="spellEnd"/>
      <w:r w:rsidRPr="008813AF">
        <w:rPr>
          <w:rFonts w:ascii="Bookman Old Style" w:hAnsi="Bookman Old Style"/>
          <w:sz w:val="28"/>
          <w:szCs w:val="28"/>
        </w:rPr>
        <w:t xml:space="preserve"> da</w:t>
      </w:r>
      <w:r w:rsidRPr="008813AF">
        <w:rPr>
          <w:rFonts w:ascii="Bookman Old Style" w:hAnsi="Bookman Old Style" w:cs="Bookman Old Style"/>
          <w:sz w:val="28"/>
          <w:szCs w:val="28"/>
        </w:rPr>
        <w:t>ļā</w:t>
      </w:r>
      <w:r w:rsidRPr="008813AF">
        <w:rPr>
          <w:rFonts w:ascii="Bookman Old Style" w:hAnsi="Bookman Old Style"/>
          <w:sz w:val="28"/>
          <w:szCs w:val="28"/>
        </w:rPr>
        <w:t xml:space="preserve"> min</w:t>
      </w:r>
      <w:r w:rsidRPr="008813AF">
        <w:rPr>
          <w:rFonts w:ascii="Bookman Old Style" w:hAnsi="Bookman Old Style" w:cs="Bookman Old Style"/>
          <w:sz w:val="28"/>
          <w:szCs w:val="28"/>
        </w:rPr>
        <w:t>ē</w:t>
      </w:r>
      <w:r w:rsidRPr="008813AF">
        <w:rPr>
          <w:rFonts w:ascii="Bookman Old Style" w:hAnsi="Bookman Old Style"/>
          <w:sz w:val="28"/>
          <w:szCs w:val="28"/>
        </w:rPr>
        <w:t>taj</w:t>
      </w:r>
      <w:r w:rsidRPr="008813AF">
        <w:rPr>
          <w:rFonts w:ascii="Bookman Old Style" w:hAnsi="Bookman Old Style" w:cs="Bookman Old Style"/>
          <w:sz w:val="28"/>
          <w:szCs w:val="28"/>
        </w:rPr>
        <w:t>ā</w:t>
      </w:r>
      <w:r w:rsidRPr="008813AF">
        <w:rPr>
          <w:rFonts w:ascii="Bookman Old Style" w:hAnsi="Bookman Old Style"/>
          <w:sz w:val="28"/>
          <w:szCs w:val="28"/>
        </w:rPr>
        <w:t>m pras</w:t>
      </w:r>
      <w:r w:rsidRPr="008813AF">
        <w:rPr>
          <w:rFonts w:ascii="Bookman Old Style" w:hAnsi="Bookman Old Style" w:cs="Bookman Old Style"/>
          <w:sz w:val="28"/>
          <w:szCs w:val="28"/>
        </w:rPr>
        <w:t>ī</w:t>
      </w:r>
      <w:r w:rsidRPr="008813AF">
        <w:rPr>
          <w:rFonts w:ascii="Bookman Old Style" w:hAnsi="Bookman Old Style"/>
          <w:sz w:val="28"/>
          <w:szCs w:val="28"/>
        </w:rPr>
        <w:t>b</w:t>
      </w:r>
      <w:r w:rsidRPr="008813AF">
        <w:rPr>
          <w:rFonts w:ascii="Bookman Old Style" w:hAnsi="Bookman Old Style" w:cs="Bookman Old Style"/>
          <w:sz w:val="28"/>
          <w:szCs w:val="28"/>
        </w:rPr>
        <w:t>ā</w:t>
      </w:r>
      <w:r w:rsidRPr="008813AF">
        <w:rPr>
          <w:rFonts w:ascii="Bookman Old Style" w:hAnsi="Bookman Old Style"/>
          <w:sz w:val="28"/>
          <w:szCs w:val="28"/>
        </w:rPr>
        <w:t>m, piepras</w:t>
      </w:r>
      <w:r w:rsidRPr="008813AF">
        <w:rPr>
          <w:rFonts w:ascii="Bookman Old Style" w:hAnsi="Bookman Old Style" w:cs="Bookman Old Style"/>
          <w:sz w:val="28"/>
          <w:szCs w:val="28"/>
        </w:rPr>
        <w:t>ī</w:t>
      </w:r>
      <w:r w:rsidRPr="008813AF">
        <w:rPr>
          <w:rFonts w:ascii="Bookman Old Style" w:hAnsi="Bookman Old Style"/>
          <w:sz w:val="28"/>
          <w:szCs w:val="28"/>
        </w:rPr>
        <w:t>t zi</w:t>
      </w:r>
      <w:r w:rsidRPr="008813AF">
        <w:rPr>
          <w:rFonts w:ascii="Bookman Old Style" w:hAnsi="Bookman Old Style" w:cs="Bookman Old Style"/>
          <w:sz w:val="28"/>
          <w:szCs w:val="28"/>
        </w:rPr>
        <w:t>ņ</w:t>
      </w:r>
      <w:r w:rsidRPr="008813AF">
        <w:rPr>
          <w:rFonts w:ascii="Bookman Old Style" w:hAnsi="Bookman Old Style"/>
          <w:sz w:val="28"/>
          <w:szCs w:val="28"/>
        </w:rPr>
        <w:t>as no Sodu re</w:t>
      </w:r>
      <w:r w:rsidRPr="008813AF">
        <w:rPr>
          <w:rFonts w:ascii="Bookman Old Style" w:hAnsi="Bookman Old Style" w:cs="Bookman Old Style"/>
          <w:sz w:val="28"/>
          <w:szCs w:val="28"/>
        </w:rPr>
        <w:t>ģ</w:t>
      </w:r>
      <w:r w:rsidRPr="008813AF">
        <w:rPr>
          <w:rFonts w:ascii="Bookman Old Style" w:hAnsi="Bookman Old Style"/>
          <w:sz w:val="28"/>
          <w:szCs w:val="28"/>
        </w:rPr>
        <w:t>istra par darba vad</w:t>
      </w:r>
      <w:r w:rsidRPr="008813AF">
        <w:rPr>
          <w:rFonts w:ascii="Bookman Old Style" w:hAnsi="Bookman Old Style" w:cs="Bookman Old Style"/>
          <w:sz w:val="28"/>
          <w:szCs w:val="28"/>
        </w:rPr>
        <w:t>ī</w:t>
      </w:r>
      <w:r w:rsidRPr="008813AF">
        <w:rPr>
          <w:rFonts w:ascii="Bookman Old Style" w:hAnsi="Bookman Old Style"/>
          <w:sz w:val="28"/>
          <w:szCs w:val="28"/>
        </w:rPr>
        <w:t>t</w:t>
      </w:r>
      <w:r w:rsidRPr="008813AF">
        <w:rPr>
          <w:rFonts w:ascii="Bookman Old Style" w:hAnsi="Bookman Old Style" w:cs="Bookman Old Style"/>
          <w:sz w:val="28"/>
          <w:szCs w:val="28"/>
        </w:rPr>
        <w:t>ā</w:t>
      </w:r>
      <w:r w:rsidRPr="008813AF">
        <w:rPr>
          <w:rFonts w:ascii="Bookman Old Style" w:hAnsi="Bookman Old Style"/>
          <w:sz w:val="28"/>
          <w:szCs w:val="28"/>
        </w:rPr>
        <w:t>ju pamatojoties uz Bērnu tiesību aizsardzības likuma 72. panta ceturto daļu.</w:t>
      </w:r>
    </w:p>
    <w:p w:rsidR="001B47D0" w:rsidRPr="008813AF" w:rsidRDefault="001B47D0" w:rsidP="001B47D0">
      <w:pPr>
        <w:jc w:val="both"/>
        <w:rPr>
          <w:rFonts w:ascii="Bookman Old Style" w:hAnsi="Bookman Old Style"/>
          <w:sz w:val="28"/>
          <w:szCs w:val="28"/>
        </w:rPr>
      </w:pPr>
    </w:p>
    <w:p w:rsidR="001B47D0" w:rsidRPr="008813AF" w:rsidRDefault="001B47D0" w:rsidP="001B47D0">
      <w:pPr>
        <w:jc w:val="both"/>
        <w:rPr>
          <w:rFonts w:ascii="Bookman Old Style" w:hAnsi="Bookman Old Style"/>
          <w:sz w:val="28"/>
          <w:szCs w:val="28"/>
        </w:rPr>
      </w:pPr>
      <w:r w:rsidRPr="008813AF">
        <w:rPr>
          <w:rFonts w:ascii="Bookman Old Style" w:hAnsi="Bookman Old Style"/>
          <w:sz w:val="28"/>
          <w:szCs w:val="28"/>
        </w:rPr>
        <w:t>Bērnu tiesību aizsardzības likuma 5.1 panta pirmās daļas 20. punktā noteikts, ka speciālās zināšanas bērnu tiesību aizsardzības jomā ir nepieciešamas jebkurai citai personai, ja ar tās pieņemtu pārvaldes lēmumu (it īpaši administratīvo aktu), faktisko rīcību vai cita veida darba vai dienesta pienākumu veikšanu tiek vai var tikt skartas bērna tiesības un tiesiskās intereses.</w:t>
      </w:r>
    </w:p>
    <w:p w:rsidR="001B47D0" w:rsidRPr="008813AF" w:rsidRDefault="001B47D0" w:rsidP="001B47D0">
      <w:pPr>
        <w:jc w:val="both"/>
        <w:rPr>
          <w:rFonts w:ascii="Bookman Old Style" w:hAnsi="Bookman Old Style"/>
          <w:sz w:val="28"/>
          <w:szCs w:val="28"/>
        </w:rPr>
      </w:pPr>
    </w:p>
    <w:p w:rsidR="001B47D0" w:rsidRPr="008813AF" w:rsidRDefault="001B47D0" w:rsidP="001B47D0">
      <w:pPr>
        <w:jc w:val="both"/>
        <w:rPr>
          <w:rFonts w:ascii="Bookman Old Style" w:hAnsi="Bookman Old Style"/>
          <w:sz w:val="28"/>
          <w:szCs w:val="28"/>
        </w:rPr>
      </w:pPr>
      <w:r w:rsidRPr="008813AF">
        <w:rPr>
          <w:rFonts w:ascii="Bookman Old Style" w:hAnsi="Bookman Old Style"/>
          <w:sz w:val="28"/>
          <w:szCs w:val="28"/>
        </w:rPr>
        <w:t>Saskaņā ar Ministru kabineta 2024. gada 16. aprīļa noteikumu Nr. 241 “Noteikumi par kārtību, kādā apgūstamas speciālās zināšanas bērnu tiesību aizsardzības jomā, šo zināšanu saturu un apjomu” 2.3. apakšpunktā noteikto, ja speciālists atbilstoši </w:t>
      </w:r>
      <w:hyperlink r:id="rId4" w:tgtFrame="_blank" w:history="1">
        <w:r w:rsidRPr="008813AF">
          <w:rPr>
            <w:rStyle w:val="Hipersaite"/>
            <w:rFonts w:ascii="Bookman Old Style" w:hAnsi="Bookman Old Style"/>
            <w:color w:val="auto"/>
            <w:sz w:val="28"/>
            <w:szCs w:val="28"/>
            <w:u w:val="none"/>
          </w:rPr>
          <w:t>Bērnu tiesību aizsardzības likuma</w:t>
        </w:r>
      </w:hyperlink>
      <w:r w:rsidRPr="008813AF">
        <w:rPr>
          <w:rFonts w:ascii="Bookman Old Style" w:hAnsi="Bookman Old Style"/>
          <w:sz w:val="28"/>
          <w:szCs w:val="28"/>
        </w:rPr>
        <w:t> </w:t>
      </w:r>
      <w:hyperlink r:id="rId5" w:anchor="p5_1" w:tgtFrame="_blank" w:history="1">
        <w:r w:rsidRPr="008813AF">
          <w:rPr>
            <w:rStyle w:val="Hipersaite"/>
            <w:rFonts w:ascii="Bookman Old Style" w:hAnsi="Bookman Old Style"/>
            <w:color w:val="auto"/>
            <w:sz w:val="28"/>
            <w:szCs w:val="28"/>
            <w:u w:val="none"/>
          </w:rPr>
          <w:t>5.</w:t>
        </w:r>
        <w:r w:rsidRPr="008813AF">
          <w:rPr>
            <w:rStyle w:val="Hipersaite"/>
            <w:rFonts w:ascii="Bookman Old Style" w:hAnsi="Bookman Old Style"/>
            <w:color w:val="auto"/>
            <w:sz w:val="28"/>
            <w:szCs w:val="28"/>
            <w:u w:val="none"/>
            <w:vertAlign w:val="superscript"/>
          </w:rPr>
          <w:t>1</w:t>
        </w:r>
        <w:r w:rsidRPr="008813AF">
          <w:rPr>
            <w:rStyle w:val="Hipersaite"/>
            <w:rFonts w:ascii="Bookman Old Style" w:hAnsi="Bookman Old Style"/>
            <w:color w:val="auto"/>
            <w:sz w:val="28"/>
            <w:szCs w:val="28"/>
            <w:u w:val="none"/>
          </w:rPr>
          <w:t> panta</w:t>
        </w:r>
      </w:hyperlink>
      <w:r w:rsidRPr="008813AF">
        <w:rPr>
          <w:rFonts w:ascii="Bookman Old Style" w:hAnsi="Bookman Old Style"/>
          <w:sz w:val="28"/>
          <w:szCs w:val="28"/>
        </w:rPr>
        <w:t> pirmās daļas 20. punktam ir persona, kuras pieņemtais pārvaldes lēmums, faktiskā rīcība vai cita veida darba vai dienesta pienākumu veikšana skar vai var skart bērna tiesības un tiesiskās intereses, speciālās zināšanas apgūst piedaloties darba devēja organizētajās mācībās vai kompetences pilnveides programmā. Atbilstoši šo noteikumu 5. un 8. punktam speciālās zināšanas pēc to sākotnējās apguves ir nepieciešams pilnveidot ik pēc diviem gadiem.</w:t>
      </w:r>
    </w:p>
    <w:p w:rsidR="001B47D0" w:rsidRPr="008813AF" w:rsidRDefault="001B47D0">
      <w:pPr>
        <w:rPr>
          <w:rFonts w:ascii="Bookman Old Style" w:hAnsi="Bookman Old Style"/>
          <w:sz w:val="28"/>
          <w:szCs w:val="28"/>
        </w:rPr>
      </w:pPr>
    </w:p>
    <w:sectPr w:rsidR="001B47D0" w:rsidRPr="008813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D0"/>
    <w:rsid w:val="001B47D0"/>
    <w:rsid w:val="008813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FD26"/>
  <w15:chartTrackingRefBased/>
  <w15:docId w15:val="{53DC7CDA-7199-4F82-939B-A8B312CF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B47D0"/>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B47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5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49096-bernu-tiesibu-aizsardzibas-likums" TargetMode="External"/><Relationship Id="rId4"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1227</Words>
  <Characters>700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NVA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Krima</dc:creator>
  <cp:keywords/>
  <dc:description/>
  <cp:lastModifiedBy>Inga Krima</cp:lastModifiedBy>
  <cp:revision>2</cp:revision>
  <dcterms:created xsi:type="dcterms:W3CDTF">2025-04-25T06:40:00Z</dcterms:created>
  <dcterms:modified xsi:type="dcterms:W3CDTF">2025-04-25T08:16:00Z</dcterms:modified>
</cp:coreProperties>
</file>