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F2C" w:rsidRPr="0030434A" w:rsidRDefault="004D1D47" w:rsidP="00D53F2C">
      <w:pPr>
        <w:tabs>
          <w:tab w:val="left" w:pos="7938"/>
        </w:tabs>
        <w:jc w:val="right"/>
      </w:pPr>
      <w:r w:rsidRPr="0030434A">
        <w:t>1.pielikums</w:t>
      </w:r>
    </w:p>
    <w:p w:rsidR="00D53F2C" w:rsidRPr="0030434A" w:rsidRDefault="004D1D47" w:rsidP="004D1D47">
      <w:pPr>
        <w:jc w:val="right"/>
      </w:pPr>
      <w:r w:rsidRPr="0030434A">
        <w:t xml:space="preserve">iepirkuma </w:t>
      </w:r>
      <w:r w:rsidR="00D53F2C" w:rsidRPr="0030434A">
        <w:t>Nr.</w:t>
      </w:r>
      <w:r w:rsidRPr="0030434A">
        <w:t xml:space="preserve"> </w:t>
      </w:r>
      <w:r w:rsidR="00D53F2C" w:rsidRPr="0030434A">
        <w:t xml:space="preserve">NVA </w:t>
      </w:r>
      <w:r w:rsidR="00D53F2C" w:rsidRPr="002C0113">
        <w:t>201</w:t>
      </w:r>
      <w:r w:rsidRPr="002C0113">
        <w:t>7</w:t>
      </w:r>
      <w:r w:rsidR="00EB32E7" w:rsidRPr="002C0113">
        <w:t>/</w:t>
      </w:r>
      <w:r w:rsidR="002C0113" w:rsidRPr="002C0113">
        <w:t>20</w:t>
      </w:r>
    </w:p>
    <w:p w:rsidR="00BA5DBD" w:rsidRPr="0030434A" w:rsidRDefault="00BA5DBD" w:rsidP="004D1D47">
      <w:pPr>
        <w:jc w:val="right"/>
      </w:pPr>
      <w:r w:rsidRPr="0030434A">
        <w:t>nolikumam</w:t>
      </w:r>
    </w:p>
    <w:p w:rsidR="00D53F2C" w:rsidRPr="0030434A" w:rsidRDefault="00D53F2C" w:rsidP="001B57A0">
      <w:pPr>
        <w:jc w:val="center"/>
        <w:rPr>
          <w:b/>
        </w:rPr>
      </w:pPr>
    </w:p>
    <w:p w:rsidR="001B57A0" w:rsidRPr="0030434A" w:rsidRDefault="001B57A0" w:rsidP="001B57A0">
      <w:pPr>
        <w:jc w:val="center"/>
        <w:rPr>
          <w:b/>
        </w:rPr>
      </w:pPr>
      <w:r w:rsidRPr="0030434A">
        <w:rPr>
          <w:b/>
        </w:rPr>
        <w:t xml:space="preserve">TEHNISKĀ SPECIFIKĀCIJA </w:t>
      </w:r>
    </w:p>
    <w:p w:rsidR="001B57A0" w:rsidRPr="0030434A" w:rsidRDefault="001B57A0" w:rsidP="00EA0957">
      <w:pPr>
        <w:jc w:val="both"/>
      </w:pPr>
    </w:p>
    <w:p w:rsidR="0030434A" w:rsidRPr="0030434A" w:rsidRDefault="0030434A" w:rsidP="0030434A">
      <w:pPr>
        <w:numPr>
          <w:ilvl w:val="0"/>
          <w:numId w:val="8"/>
        </w:numPr>
        <w:ind w:left="567" w:hanging="567"/>
        <w:jc w:val="both"/>
      </w:pPr>
      <w:r w:rsidRPr="0030434A">
        <w:t>Tonera kasetņu uzpilde un atjaunošana sevī ietver:</w:t>
      </w:r>
    </w:p>
    <w:p w:rsidR="0030434A" w:rsidRPr="0030434A" w:rsidRDefault="0030434A" w:rsidP="0030434A">
      <w:pPr>
        <w:numPr>
          <w:ilvl w:val="1"/>
          <w:numId w:val="8"/>
        </w:numPr>
        <w:ind w:left="567" w:firstLine="0"/>
        <w:jc w:val="both"/>
      </w:pPr>
      <w:r w:rsidRPr="0030434A">
        <w:t xml:space="preserve">kasetņu uzpilde – </w:t>
      </w:r>
      <w:r w:rsidRPr="0030434A">
        <w:rPr>
          <w:rStyle w:val="c1"/>
        </w:rPr>
        <w:t xml:space="preserve">krāsvielas (pulvera) uzpildīšanu bez kasetnes detaļu remonta, nomaiņas vai atjaunošanas. Uzpildīšana ietver </w:t>
      </w:r>
      <w:r w:rsidRPr="0030434A">
        <w:t xml:space="preserve">tonera kasetnes </w:t>
      </w:r>
      <w:r w:rsidRPr="0030434A">
        <w:rPr>
          <w:rStyle w:val="c1"/>
        </w:rPr>
        <w:t xml:space="preserve">čipu pārprogrammēšanu vai nomaiņu, ja tāda ir nepieciešama </w:t>
      </w:r>
      <w:r w:rsidRPr="0030434A">
        <w:t>tonera kasetnes</w:t>
      </w:r>
      <w:r w:rsidRPr="0030434A">
        <w:rPr>
          <w:rStyle w:val="c1"/>
        </w:rPr>
        <w:t xml:space="preserve"> darbības nodrošināšanai</w:t>
      </w:r>
      <w:r w:rsidRPr="0030434A">
        <w:t>;</w:t>
      </w:r>
    </w:p>
    <w:p w:rsidR="0030434A" w:rsidRPr="0030434A" w:rsidRDefault="0030434A" w:rsidP="0030434A">
      <w:pPr>
        <w:numPr>
          <w:ilvl w:val="1"/>
          <w:numId w:val="8"/>
        </w:numPr>
        <w:ind w:left="567" w:firstLine="0"/>
        <w:jc w:val="both"/>
        <w:rPr>
          <w:rStyle w:val="c1"/>
        </w:rPr>
      </w:pPr>
      <w:r w:rsidRPr="0030434A">
        <w:t xml:space="preserve">Kasetņu atjaunošana - </w:t>
      </w:r>
      <w:r w:rsidRPr="0030434A">
        <w:rPr>
          <w:rStyle w:val="c1"/>
        </w:rPr>
        <w:t>krāsvielas (pulver</w:t>
      </w:r>
      <w:bookmarkStart w:id="0" w:name="_GoBack"/>
      <w:bookmarkEnd w:id="0"/>
      <w:r w:rsidRPr="0030434A">
        <w:rPr>
          <w:rStyle w:val="c1"/>
        </w:rPr>
        <w:t>a) uzpildīšanu, čipu pārprogrammēšanu vai nomaiņu, ja tāda nepieciešama, kasetnes nolietoto detaļu remontu, nomaiņu vai atjaunošanu, t.sk., OPC (gaismas jūtīgais rullis), gumijas ruļļa un magnētiskā ruļļa nomaiņa, kasetnēm, kurām ir šādas detaļas;</w:t>
      </w:r>
    </w:p>
    <w:p w:rsidR="0030434A" w:rsidRPr="0030434A" w:rsidRDefault="0030434A" w:rsidP="0030434A">
      <w:pPr>
        <w:numPr>
          <w:ilvl w:val="1"/>
          <w:numId w:val="8"/>
        </w:numPr>
        <w:ind w:left="567" w:firstLine="0"/>
        <w:jc w:val="both"/>
      </w:pPr>
      <w:r w:rsidRPr="0030434A">
        <w:rPr>
          <w:rStyle w:val="c1"/>
        </w:rPr>
        <w:t>Vienas drukas kasetnes uzpilde un atjaunošana paredzēta 2 reizes.</w:t>
      </w:r>
    </w:p>
    <w:p w:rsidR="0030434A" w:rsidRPr="0030434A" w:rsidRDefault="0030434A" w:rsidP="0030434A">
      <w:pPr>
        <w:numPr>
          <w:ilvl w:val="0"/>
          <w:numId w:val="8"/>
        </w:numPr>
        <w:ind w:left="567" w:hanging="567"/>
        <w:jc w:val="both"/>
      </w:pPr>
      <w:r w:rsidRPr="0030434A">
        <w:t>Tonera kasetņu piegādes noteikumi:</w:t>
      </w:r>
    </w:p>
    <w:p w:rsidR="0030434A" w:rsidRPr="0030434A" w:rsidRDefault="0030434A" w:rsidP="0030434A">
      <w:pPr>
        <w:pStyle w:val="ListParagraph"/>
        <w:widowControl w:val="0"/>
        <w:numPr>
          <w:ilvl w:val="1"/>
          <w:numId w:val="8"/>
        </w:numPr>
        <w:ind w:hanging="513"/>
        <w:contextualSpacing/>
        <w:jc w:val="both"/>
      </w:pPr>
      <w:r w:rsidRPr="0030434A">
        <w:t>Tukšo tonera kasetņu savākšanu 24 stundu laikā no pasūtījuma saņemšanas brīža;</w:t>
      </w:r>
    </w:p>
    <w:p w:rsidR="0030434A" w:rsidRPr="0030434A" w:rsidRDefault="0030434A" w:rsidP="0030434A">
      <w:pPr>
        <w:numPr>
          <w:ilvl w:val="1"/>
          <w:numId w:val="8"/>
        </w:numPr>
        <w:ind w:hanging="513"/>
        <w:jc w:val="both"/>
      </w:pPr>
      <w:r w:rsidRPr="0030434A">
        <w:t>Drukas iekārtu tonera kasetnes jāuzpilda vai jāatjauno un jāpiegādā Pasūtītājam ne vēlāk kā piecu darba dienu laikā no pasūtījuma saņemšanas dienas;</w:t>
      </w:r>
    </w:p>
    <w:p w:rsidR="0030434A" w:rsidRPr="0030434A" w:rsidRDefault="0030434A" w:rsidP="0030434A">
      <w:pPr>
        <w:numPr>
          <w:ilvl w:val="1"/>
          <w:numId w:val="8"/>
        </w:numPr>
        <w:ind w:hanging="513"/>
        <w:jc w:val="both"/>
      </w:pPr>
      <w:r w:rsidRPr="0030434A">
        <w:t>Uzpildītās vai atjaunotās drukas iekārtu tonera kasetnes jāpiegādā drošā iepakojumā ar marķējumu</w:t>
      </w:r>
      <w:r>
        <w:t>.</w:t>
      </w:r>
    </w:p>
    <w:p w:rsidR="0030434A" w:rsidRPr="0030434A" w:rsidRDefault="0030434A" w:rsidP="0030434A">
      <w:pPr>
        <w:numPr>
          <w:ilvl w:val="0"/>
          <w:numId w:val="8"/>
        </w:numPr>
        <w:ind w:left="567" w:hanging="567"/>
        <w:jc w:val="both"/>
        <w:rPr>
          <w:rStyle w:val="c1"/>
        </w:rPr>
      </w:pPr>
      <w:r w:rsidRPr="0030434A">
        <w:t>Tonera kasetņu un iepakojumu marķēšanas nosacījumi:</w:t>
      </w:r>
    </w:p>
    <w:p w:rsidR="0030434A" w:rsidRPr="0030434A" w:rsidRDefault="0030434A" w:rsidP="0030434A">
      <w:pPr>
        <w:numPr>
          <w:ilvl w:val="1"/>
          <w:numId w:val="8"/>
        </w:numPr>
        <w:ind w:left="1134" w:hanging="567"/>
        <w:jc w:val="both"/>
        <w:rPr>
          <w:rStyle w:val="c1"/>
        </w:rPr>
      </w:pPr>
      <w:r w:rsidRPr="0030434A">
        <w:t>Tonera kasetnēm</w:t>
      </w:r>
      <w:r w:rsidRPr="0030434A">
        <w:rPr>
          <w:rStyle w:val="c1"/>
        </w:rPr>
        <w:t xml:space="preserve"> jābūt marķētām ar uzlīmi, uz kuras ir norādīts pildīšanas datums, </w:t>
      </w:r>
      <w:r w:rsidRPr="0030434A">
        <w:t>tonera kasetnes</w:t>
      </w:r>
      <w:r w:rsidRPr="0030434A">
        <w:rPr>
          <w:rStyle w:val="c1"/>
        </w:rPr>
        <w:t xml:space="preserve"> svars un laiks, kad veikta uzpilde vai atjaunošana., </w:t>
      </w:r>
      <w:r w:rsidRPr="0030434A">
        <w:t>tonera kasetnes</w:t>
      </w:r>
      <w:r w:rsidRPr="0030434A">
        <w:rPr>
          <w:rStyle w:val="c1"/>
        </w:rPr>
        <w:t xml:space="preserve"> kodu, uzpildes\ atjaunošanas identifikācijas kodam;</w:t>
      </w:r>
    </w:p>
    <w:p w:rsidR="0030434A" w:rsidRPr="0030434A" w:rsidRDefault="0030434A" w:rsidP="0030434A">
      <w:pPr>
        <w:numPr>
          <w:ilvl w:val="1"/>
          <w:numId w:val="8"/>
        </w:numPr>
        <w:ind w:left="1134" w:hanging="567"/>
        <w:jc w:val="both"/>
        <w:rPr>
          <w:rStyle w:val="c1"/>
        </w:rPr>
      </w:pPr>
      <w:r w:rsidRPr="0030434A">
        <w:rPr>
          <w:rStyle w:val="c1"/>
        </w:rPr>
        <w:t xml:space="preserve">Iepakojumam jābūt marķētam ar šādu informāciju: </w:t>
      </w:r>
      <w:r w:rsidRPr="0030434A">
        <w:t>tonera kasetnes</w:t>
      </w:r>
      <w:r w:rsidRPr="0030434A">
        <w:rPr>
          <w:rStyle w:val="c1"/>
        </w:rPr>
        <w:t xml:space="preserve"> nosaukums, kādai drukas iekārtai tas paredzēts.</w:t>
      </w:r>
    </w:p>
    <w:p w:rsidR="0030434A" w:rsidRPr="0030434A" w:rsidRDefault="0030434A" w:rsidP="0030434A">
      <w:pPr>
        <w:numPr>
          <w:ilvl w:val="0"/>
          <w:numId w:val="8"/>
        </w:numPr>
        <w:ind w:left="426" w:hanging="426"/>
        <w:jc w:val="both"/>
      </w:pPr>
      <w:r w:rsidRPr="0030434A">
        <w:t>Pasūtītājs veic drukas iekārtu tonera kasetņu pasūtījumu uz katru drukas iekārtu tonera kasetņu piegādes vietu ne biežāk kā četras reizes mēnesī. Kasešu piegādes un saņemšanas adreses norādītas struktūrvienību sarakstā.</w:t>
      </w:r>
    </w:p>
    <w:p w:rsidR="0030434A" w:rsidRPr="0030434A" w:rsidRDefault="0030434A" w:rsidP="0030434A">
      <w:pPr>
        <w:numPr>
          <w:ilvl w:val="0"/>
          <w:numId w:val="8"/>
        </w:numPr>
        <w:ind w:left="426" w:hanging="426"/>
        <w:jc w:val="both"/>
      </w:pPr>
      <w:r w:rsidRPr="0030434A">
        <w:t xml:space="preserve">Ja pēc piegādātās tonera kasetnes uzstādīšanas drukas iekārtas drukāšanas kvalitāte nav apmierinoša vai pasliktinās (piemēram, tiek smērēts papīrs, drukātais teksts vai attēls ir ar pārrāvumiem – gaiša svītra lapas drukājamajā daļā), Pretendentam par saviem līdzekļiem ir jāveic bojātā tonera atjaunošana un Pasūtītājam ir tiesības sastādīt defektācijas aktu. Ja piegādāto tonera kasetņu skaits, par kurām ir sastādīti defektācijas </w:t>
      </w:r>
      <w:smartTag w:uri="schemas-tilde-lv/tildestengine" w:element="veidnes">
        <w:smartTagPr>
          <w:attr w:name="text" w:val="akti"/>
          <w:attr w:name="id" w:val="-1"/>
          <w:attr w:name="baseform" w:val="akt|s"/>
        </w:smartTagPr>
        <w:r w:rsidRPr="0030434A">
          <w:t>akti</w:t>
        </w:r>
      </w:smartTag>
      <w:r w:rsidRPr="0030434A">
        <w:t xml:space="preserve"> sasniedz 2% no kalendārajā mēnesī piegādātajām toneru kasetnēm vai ja piegādāto tonera kasetņu skaits, par kurām ir sastādīti defektācijas </w:t>
      </w:r>
      <w:smartTag w:uri="schemas-tilde-lv/tildestengine" w:element="veidnes">
        <w:smartTagPr>
          <w:attr w:name="text" w:val="akti"/>
          <w:attr w:name="id" w:val="-1"/>
          <w:attr w:name="baseform" w:val="akt|s"/>
        </w:smartTagPr>
        <w:r w:rsidRPr="0030434A">
          <w:t>akti</w:t>
        </w:r>
      </w:smartTag>
      <w:r w:rsidRPr="0030434A">
        <w:t xml:space="preserve"> sasniedz 20 vienības visā </w:t>
      </w:r>
      <w:smartTag w:uri="schemas-tilde-lv/tildestengine" w:element="veidnes">
        <w:smartTagPr>
          <w:attr w:name="text" w:val="līguma"/>
          <w:attr w:name="id" w:val="-1"/>
          <w:attr w:name="baseform" w:val="līgum|s"/>
        </w:smartTagPr>
        <w:r w:rsidRPr="0030434A">
          <w:t>līguma</w:t>
        </w:r>
      </w:smartTag>
      <w:r w:rsidRPr="0030434A">
        <w:t xml:space="preserve"> darbības laikā, tad Pasūtītājs ir tiesīgs piemērot līgumsodu 10% apmērā no kopējās </w:t>
      </w:r>
      <w:smartTag w:uri="schemas-tilde-lv/tildestengine" w:element="veidnes">
        <w:smartTagPr>
          <w:attr w:name="text" w:val="līguma"/>
          <w:attr w:name="id" w:val="-1"/>
          <w:attr w:name="baseform" w:val="līgum|s"/>
        </w:smartTagPr>
        <w:r w:rsidRPr="0030434A">
          <w:t>līguma</w:t>
        </w:r>
      </w:smartTag>
      <w:r w:rsidRPr="0030434A">
        <w:t xml:space="preserve"> summas, kā arī Pasūtītājs ir tiesīgs vienpusējā kārtā lauzt līgumu.</w:t>
      </w:r>
    </w:p>
    <w:p w:rsidR="0030434A" w:rsidRPr="0030434A" w:rsidRDefault="0030434A" w:rsidP="0030434A">
      <w:pPr>
        <w:numPr>
          <w:ilvl w:val="0"/>
          <w:numId w:val="8"/>
        </w:numPr>
        <w:ind w:left="426" w:hanging="426"/>
        <w:jc w:val="both"/>
      </w:pPr>
      <w:r w:rsidRPr="0030434A">
        <w:t>Ja piegādātā tonera kasetne ir radījusi drukas iekārtu darbības traucējumus, Pretendentam par saviem līdzekļiem ir jāveic iekārtas profilakse un remonts, kā arī jāatjauno drukas iekārtas pilnas darba spējas divu darba dienu laikā no pieteikuma saņemšanas brīža.</w:t>
      </w:r>
    </w:p>
    <w:p w:rsidR="0030434A" w:rsidRPr="0030434A" w:rsidRDefault="0030434A" w:rsidP="0030434A">
      <w:pPr>
        <w:numPr>
          <w:ilvl w:val="0"/>
          <w:numId w:val="8"/>
        </w:numPr>
        <w:ind w:left="426" w:hanging="426"/>
        <w:jc w:val="both"/>
      </w:pPr>
      <w:r w:rsidRPr="0030434A">
        <w:t>Piegādātajai tonera kasetnēm jānodrošina sešu mēnešu garantijas laiks no piegādes dienas.</w:t>
      </w:r>
    </w:p>
    <w:p w:rsidR="0030434A" w:rsidRPr="0030434A" w:rsidRDefault="0030434A" w:rsidP="0030434A">
      <w:pPr>
        <w:numPr>
          <w:ilvl w:val="0"/>
          <w:numId w:val="8"/>
        </w:numPr>
        <w:ind w:left="426" w:hanging="426"/>
        <w:jc w:val="both"/>
      </w:pPr>
      <w:r w:rsidRPr="0030434A">
        <w:t>Drukas iekārtu tonera kasetņu saņemšanas un piegādes vietas:</w:t>
      </w:r>
    </w:p>
    <w:tbl>
      <w:tblPr>
        <w:tblW w:w="9087" w:type="dxa"/>
        <w:tblInd w:w="93" w:type="dxa"/>
        <w:tblLook w:val="04A0" w:firstRow="1" w:lastRow="0" w:firstColumn="1" w:lastColumn="0" w:noHBand="0" w:noVBand="1"/>
      </w:tblPr>
      <w:tblGrid>
        <w:gridCol w:w="943"/>
        <w:gridCol w:w="3805"/>
        <w:gridCol w:w="4339"/>
      </w:tblGrid>
      <w:tr w:rsidR="004D1D47" w:rsidRPr="0030434A" w:rsidTr="006D3C75">
        <w:trPr>
          <w:cantSplit/>
          <w:trHeight w:val="315"/>
        </w:trPr>
        <w:tc>
          <w:tcPr>
            <w:tcW w:w="943" w:type="dxa"/>
            <w:tcBorders>
              <w:top w:val="single" w:sz="8" w:space="0" w:color="auto"/>
              <w:left w:val="single" w:sz="8" w:space="0" w:color="auto"/>
              <w:bottom w:val="single" w:sz="8" w:space="0" w:color="auto"/>
              <w:right w:val="single" w:sz="4" w:space="0" w:color="auto"/>
            </w:tcBorders>
            <w:shd w:val="clear" w:color="auto" w:fill="auto"/>
            <w:vAlign w:val="center"/>
          </w:tcPr>
          <w:p w:rsidR="004D1D47" w:rsidRPr="0030434A" w:rsidRDefault="004D1D47" w:rsidP="006D3C75">
            <w:pPr>
              <w:jc w:val="center"/>
              <w:rPr>
                <w:b/>
                <w:bCs/>
                <w:iCs/>
                <w:color w:val="000000"/>
              </w:rPr>
            </w:pPr>
            <w:r w:rsidRPr="0030434A">
              <w:rPr>
                <w:b/>
                <w:bCs/>
                <w:iCs/>
                <w:color w:val="000000"/>
              </w:rPr>
              <w:t>Nr. p.k.</w:t>
            </w:r>
          </w:p>
        </w:tc>
        <w:tc>
          <w:tcPr>
            <w:tcW w:w="3805" w:type="dxa"/>
            <w:tcBorders>
              <w:top w:val="single" w:sz="8" w:space="0" w:color="auto"/>
              <w:left w:val="single" w:sz="4" w:space="0" w:color="auto"/>
              <w:bottom w:val="single" w:sz="8" w:space="0" w:color="auto"/>
              <w:right w:val="single" w:sz="4" w:space="0" w:color="auto"/>
            </w:tcBorders>
            <w:shd w:val="clear" w:color="auto" w:fill="auto"/>
            <w:vAlign w:val="center"/>
          </w:tcPr>
          <w:p w:rsidR="004D1D47" w:rsidRPr="0030434A" w:rsidRDefault="004D1D47" w:rsidP="006D3C75">
            <w:pPr>
              <w:jc w:val="center"/>
              <w:rPr>
                <w:b/>
                <w:bCs/>
                <w:iCs/>
                <w:color w:val="000000"/>
              </w:rPr>
            </w:pPr>
            <w:r w:rsidRPr="0030434A">
              <w:rPr>
                <w:b/>
                <w:bCs/>
                <w:iCs/>
                <w:color w:val="000000"/>
              </w:rPr>
              <w:t>Struktūrvienības nosaukums</w:t>
            </w:r>
          </w:p>
        </w:tc>
        <w:tc>
          <w:tcPr>
            <w:tcW w:w="4339" w:type="dxa"/>
            <w:tcBorders>
              <w:top w:val="single" w:sz="8" w:space="0" w:color="auto"/>
              <w:left w:val="single" w:sz="4" w:space="0" w:color="auto"/>
              <w:bottom w:val="single" w:sz="8" w:space="0" w:color="auto"/>
              <w:right w:val="single" w:sz="4" w:space="0" w:color="auto"/>
            </w:tcBorders>
            <w:shd w:val="clear" w:color="auto" w:fill="auto"/>
            <w:vAlign w:val="center"/>
          </w:tcPr>
          <w:p w:rsidR="004D1D47" w:rsidRPr="0030434A" w:rsidRDefault="004D1D47" w:rsidP="006D3C75">
            <w:pPr>
              <w:jc w:val="center"/>
              <w:rPr>
                <w:b/>
                <w:bCs/>
                <w:iCs/>
                <w:color w:val="000000"/>
              </w:rPr>
            </w:pPr>
            <w:r w:rsidRPr="0030434A">
              <w:rPr>
                <w:b/>
                <w:bCs/>
                <w:iCs/>
                <w:color w:val="000000"/>
              </w:rPr>
              <w:t>Struktūrvienības adrese</w:t>
            </w:r>
          </w:p>
        </w:tc>
      </w:tr>
      <w:tr w:rsidR="004D1D47" w:rsidRPr="0030434A" w:rsidTr="006D3C75">
        <w:trPr>
          <w:cantSplit/>
          <w:trHeight w:val="315"/>
        </w:trPr>
        <w:tc>
          <w:tcPr>
            <w:tcW w:w="943" w:type="dxa"/>
            <w:tcBorders>
              <w:top w:val="nil"/>
              <w:left w:val="single" w:sz="8" w:space="0" w:color="auto"/>
              <w:bottom w:val="single" w:sz="8" w:space="0" w:color="auto"/>
              <w:right w:val="single" w:sz="4"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single" w:sz="4" w:space="0" w:color="auto"/>
              <w:bottom w:val="single" w:sz="8" w:space="0" w:color="auto"/>
              <w:right w:val="single" w:sz="4" w:space="0" w:color="auto"/>
            </w:tcBorders>
            <w:shd w:val="clear" w:color="auto" w:fill="auto"/>
            <w:vAlign w:val="center"/>
          </w:tcPr>
          <w:p w:rsidR="004D1D47" w:rsidRPr="0030434A" w:rsidRDefault="004D1D47" w:rsidP="006D3C75">
            <w:pPr>
              <w:rPr>
                <w:color w:val="000000"/>
              </w:rPr>
            </w:pPr>
            <w:r w:rsidRPr="0030434A">
              <w:rPr>
                <w:color w:val="000000"/>
              </w:rPr>
              <w:t>NVA Pārvalde</w:t>
            </w:r>
          </w:p>
        </w:tc>
        <w:tc>
          <w:tcPr>
            <w:tcW w:w="4339" w:type="dxa"/>
            <w:tcBorders>
              <w:top w:val="nil"/>
              <w:left w:val="single" w:sz="4" w:space="0" w:color="auto"/>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color w:val="000000"/>
              </w:rPr>
              <w:t>K.Valdemāra iela 38 k-1, Rīga</w:t>
            </w:r>
          </w:p>
        </w:tc>
      </w:tr>
      <w:tr w:rsidR="004D1D47" w:rsidRPr="0030434A" w:rsidTr="006D3C75">
        <w:trPr>
          <w:cantSplit/>
          <w:trHeight w:val="388"/>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single" w:sz="4" w:space="0" w:color="auto"/>
              <w:bottom w:val="single" w:sz="8" w:space="0" w:color="auto"/>
              <w:right w:val="single" w:sz="4" w:space="0" w:color="auto"/>
            </w:tcBorders>
            <w:shd w:val="clear" w:color="auto" w:fill="auto"/>
            <w:vAlign w:val="center"/>
          </w:tcPr>
          <w:p w:rsidR="004D1D47" w:rsidRPr="0030434A" w:rsidRDefault="004D1D47" w:rsidP="006D3C75">
            <w:pPr>
              <w:rPr>
                <w:color w:val="000000"/>
              </w:rPr>
            </w:pPr>
            <w:r w:rsidRPr="0030434A">
              <w:rPr>
                <w:color w:val="000000"/>
              </w:rPr>
              <w:t>NVA Pārvalde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color w:val="000000"/>
              </w:rPr>
              <w:t>Citadeles iela 7, Rīga </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color w:val="000000"/>
              </w:rPr>
              <w:t>NVA Pārvalde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r w:rsidRPr="0030434A">
              <w:t>K. Valdemāra iela 17, Rīga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color w:val="000000"/>
              </w:rPr>
              <w:t>NVA Pārvalde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lang w:eastAsia="lv-LV"/>
              </w:rPr>
            </w:pPr>
            <w:r w:rsidRPr="0030434A">
              <w:t>Eksporta iela 6, Rīga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color w:val="000000"/>
              </w:rPr>
              <w:t>Rīgas reģionālā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color w:val="000000"/>
              </w:rPr>
              <w:t>Jēzusbaznīcas iela 11, Rīga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Olaines KAC</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Zemgales iela 33, Olaine</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Salaspils KAC</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r w:rsidRPr="0030434A">
              <w:rPr>
                <w:rFonts w:eastAsia="Verdana"/>
              </w:rPr>
              <w:t>Skolas iela 7, Salaspils</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Daugavpils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Varšavas iela 18, Daugavpils</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Rēzeknes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Atbrīvošanas aleja 155, Rēzekne</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Jelgavas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Skolotāju ielā 3, Jelgava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Liepājas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Graudu iela 50, Liepāja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Aizkraukles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Lāčplēša iela 1, Aizkraukle</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Neretas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P.Lodziņa iela 2, Nereta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Alūksnes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Helēnas iela 52, Alūksne</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Balvu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Bērzpils iela 2a, Balvi</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Baltinas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Kārsavas iela 16, Baltinava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Tilža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Brīvības iela 3a, Tilža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Viļakas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Abrenes iela 26, Viļaka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Bauskas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Rātslaukums 4, Bauska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Cēsu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Pļavas iela 3a, Cēsis</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Ilūkstes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Brīvības ielā 13, Ilūkste</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Dobeles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Zaļā iela 27, Dobele</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Auces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Jelgavas iela 1, Auce</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Gulbenes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Ābeļu ielā 8, Gulbene</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Jēkabpils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Jaunā iela 79e, Jēkabpils</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Viesītes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Smilšu iela 2, Viesīte</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Jūrmalas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Viestura iela 6, Jūrmala, Bulduri</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Krāslavas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Grāfu Plāteru iela 9, Krāslava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Dagdas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Daugavpils iela 8, Dagda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Kuldīgas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Pilsētas laukums 4a, Kuldīga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Limbažu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Vecā Sārmes iela 10, Limbaži</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Ludzas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Stacijas iela 44, Ludza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Kārsavas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Vienības iela 53, Kārsava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Zilupes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Partizānu iela 5, Zilupe</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Madonas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Upes iela 3, Madona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Ērgļu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Blaumaņa iela 2, Ērgļi</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Lubānas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Tilta iela 5, Lubāna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Varakļānu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Rīgas iela 13, Varakļāni</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Ogres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Rīgas iela 14, Ogre</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Preiļu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Raiņa bulvāris 19, Preiļi</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Līvānu KAC</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Rīgas iela 77, Līvāni</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Maltas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Skolas iela 24, Malta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Viļānu KAC</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Rēzeknes iela 1a, Viļāni</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Saldus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Avotu iela 12, Saldus</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Siguldas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Dārza iela 2a, Sigulda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Talsu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K.Valdemāra iela 2a, Talsi</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Tukuma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lang w:eastAsia="lv-LV"/>
              </w:rPr>
            </w:pPr>
            <w:r w:rsidRPr="0030434A">
              <w:rPr>
                <w:rFonts w:eastAsia="Verdana"/>
                <w:color w:val="000000"/>
              </w:rPr>
              <w:t>Šēseles iela 3, Tukums</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Valkas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Raiņa iela 16, Valka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Smiltenes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Pils iela 6, Smiltene</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Valmieras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Meža iela 7, Valmiera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Rūjienas sektors</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Raiņa iela 3, Rūjiena</w:t>
            </w:r>
          </w:p>
        </w:tc>
      </w:tr>
      <w:tr w:rsidR="004D1D47" w:rsidRPr="0030434A" w:rsidTr="006D3C75">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rsidR="004D1D47" w:rsidRPr="0030434A" w:rsidRDefault="004D1D47" w:rsidP="004D1D47">
            <w:pPr>
              <w:pStyle w:val="ListParagraph"/>
              <w:numPr>
                <w:ilvl w:val="0"/>
                <w:numId w:val="11"/>
              </w:numPr>
              <w:contextualSpacing/>
              <w:jc w:val="center"/>
              <w:rPr>
                <w:color w:val="000000"/>
              </w:rPr>
            </w:pPr>
          </w:p>
        </w:tc>
        <w:tc>
          <w:tcPr>
            <w:tcW w:w="3805"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color w:val="000000"/>
              </w:rPr>
            </w:pPr>
            <w:r w:rsidRPr="0030434A">
              <w:rPr>
                <w:rFonts w:eastAsia="Verdana"/>
                <w:color w:val="000000"/>
              </w:rPr>
              <w:t>Ventspils filiāle</w:t>
            </w:r>
          </w:p>
        </w:tc>
        <w:tc>
          <w:tcPr>
            <w:tcW w:w="4339" w:type="dxa"/>
            <w:tcBorders>
              <w:top w:val="nil"/>
              <w:left w:val="nil"/>
              <w:bottom w:val="single" w:sz="8" w:space="0" w:color="auto"/>
              <w:right w:val="single" w:sz="8" w:space="0" w:color="auto"/>
            </w:tcBorders>
            <w:shd w:val="clear" w:color="auto" w:fill="auto"/>
            <w:vAlign w:val="center"/>
          </w:tcPr>
          <w:p w:rsidR="004D1D47" w:rsidRPr="0030434A" w:rsidRDefault="004D1D47" w:rsidP="006D3C75">
            <w:pPr>
              <w:rPr>
                <w:lang w:eastAsia="lv-LV"/>
              </w:rPr>
            </w:pPr>
            <w:r w:rsidRPr="0030434A">
              <w:t>Lakstīgalu iela 1, Ventspils</w:t>
            </w:r>
          </w:p>
        </w:tc>
      </w:tr>
    </w:tbl>
    <w:p w:rsidR="001B57A0" w:rsidRPr="0030434A" w:rsidRDefault="001B57A0" w:rsidP="001B57A0">
      <w:r w:rsidRPr="0030434A">
        <w:t xml:space="preserve"> </w:t>
      </w:r>
    </w:p>
    <w:p w:rsidR="00B16531" w:rsidRPr="0030434A" w:rsidRDefault="00FD5574" w:rsidP="001B57A0">
      <w:r w:rsidRPr="0030434A">
        <w:t>*Pasūtītājam līguma izpildes laikā ir tiesības mainīt piegādes vietu adreses</w:t>
      </w:r>
      <w:r w:rsidR="00EA0957" w:rsidRPr="0030434A">
        <w:t xml:space="preserve"> administratīvās teritorijas ietvaros.</w:t>
      </w:r>
    </w:p>
    <w:sectPr w:rsidR="00B16531" w:rsidRPr="0030434A" w:rsidSect="00D53F2C">
      <w:footerReference w:type="default" r:id="rId7"/>
      <w:pgSz w:w="11906" w:h="16838"/>
      <w:pgMar w:top="709" w:right="1133" w:bottom="1701"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32A" w:rsidRDefault="009B332A">
      <w:r>
        <w:separator/>
      </w:r>
    </w:p>
  </w:endnote>
  <w:endnote w:type="continuationSeparator" w:id="0">
    <w:p w:rsidR="009B332A" w:rsidRDefault="009B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D47" w:rsidRDefault="004D1D47">
    <w:pPr>
      <w:pStyle w:val="Footer"/>
      <w:jc w:val="center"/>
    </w:pPr>
    <w:r>
      <w:fldChar w:fldCharType="begin"/>
    </w:r>
    <w:r>
      <w:instrText xml:space="preserve"> PAGE   \* MERGEFORMAT </w:instrText>
    </w:r>
    <w:r>
      <w:fldChar w:fldCharType="separate"/>
    </w:r>
    <w:r w:rsidR="009B332A">
      <w:rPr>
        <w:noProof/>
      </w:rPr>
      <w:t>1</w:t>
    </w:r>
    <w:r>
      <w:rPr>
        <w:noProof/>
      </w:rPr>
      <w:fldChar w:fldCharType="end"/>
    </w:r>
  </w:p>
  <w:p w:rsidR="004D1D47" w:rsidRDefault="004D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32A" w:rsidRDefault="009B332A">
      <w:r>
        <w:separator/>
      </w:r>
    </w:p>
  </w:footnote>
  <w:footnote w:type="continuationSeparator" w:id="0">
    <w:p w:rsidR="009B332A" w:rsidRDefault="009B3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2FA"/>
    <w:multiLevelType w:val="multilevel"/>
    <w:tmpl w:val="DA4C413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142616C"/>
    <w:multiLevelType w:val="hybridMultilevel"/>
    <w:tmpl w:val="9C2E0ABC"/>
    <w:lvl w:ilvl="0" w:tplc="0426000F">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FC52EB5"/>
    <w:multiLevelType w:val="multilevel"/>
    <w:tmpl w:val="BF6C3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33425"/>
    <w:multiLevelType w:val="hybridMultilevel"/>
    <w:tmpl w:val="7B947A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B52EB9"/>
    <w:multiLevelType w:val="hybridMultilevel"/>
    <w:tmpl w:val="F2E28EFA"/>
    <w:lvl w:ilvl="0" w:tplc="731434D2">
      <w:start w:val="25"/>
      <w:numFmt w:val="decimal"/>
      <w:lvlText w:val="%1."/>
      <w:lvlJc w:val="left"/>
      <w:pPr>
        <w:tabs>
          <w:tab w:val="num" w:pos="540"/>
        </w:tabs>
        <w:ind w:left="540" w:hanging="360"/>
      </w:pPr>
      <w:rPr>
        <w:rFonts w:hint="default"/>
        <w:b w:val="0"/>
      </w:rPr>
    </w:lvl>
    <w:lvl w:ilvl="1" w:tplc="FFFFFFFF">
      <w:start w:val="1"/>
      <w:numFmt w:val="lowerLetter"/>
      <w:lvlText w:val="%2."/>
      <w:lvlJc w:val="left"/>
      <w:pPr>
        <w:tabs>
          <w:tab w:val="num" w:pos="1260"/>
        </w:tabs>
        <w:ind w:left="1260" w:hanging="360"/>
      </w:pPr>
    </w:lvl>
    <w:lvl w:ilvl="2" w:tplc="FFFFFFFF">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15:restartNumberingAfterBreak="0">
    <w:nsid w:val="43C17324"/>
    <w:multiLevelType w:val="multilevel"/>
    <w:tmpl w:val="14B48C0C"/>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F9C6799"/>
    <w:multiLevelType w:val="hybridMultilevel"/>
    <w:tmpl w:val="19BCBE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82A11EC"/>
    <w:multiLevelType w:val="hybridMultilevel"/>
    <w:tmpl w:val="9A30C46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684C7D9E"/>
    <w:multiLevelType w:val="multilevel"/>
    <w:tmpl w:val="7638E3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E02D34"/>
    <w:multiLevelType w:val="multilevel"/>
    <w:tmpl w:val="EAECEB9E"/>
    <w:lvl w:ilvl="0">
      <w:start w:val="1"/>
      <w:numFmt w:val="decimal"/>
      <w:lvlText w:val="%1."/>
      <w:lvlJc w:val="left"/>
      <w:pPr>
        <w:ind w:left="644" w:hanging="360"/>
      </w:pPr>
      <w:rPr>
        <w:b w:val="0"/>
      </w:rPr>
    </w:lvl>
    <w:lvl w:ilvl="1">
      <w:start w:val="1"/>
      <w:numFmt w:val="decimal"/>
      <w:isLgl/>
      <w:lvlText w:val="%1.%2."/>
      <w:lvlJc w:val="left"/>
      <w:pPr>
        <w:ind w:left="900" w:hanging="360"/>
      </w:pPr>
      <w:rPr>
        <w:b w:val="0"/>
        <w:i w:val="0"/>
      </w:rPr>
    </w:lvl>
    <w:lvl w:ilvl="2">
      <w:start w:val="1"/>
      <w:numFmt w:val="decimal"/>
      <w:isLgl/>
      <w:lvlText w:val="%1.%2.%3."/>
      <w:lvlJc w:val="left"/>
      <w:pPr>
        <w:ind w:left="1570" w:hanging="720"/>
      </w:pPr>
      <w:rPr>
        <w:b w:val="0"/>
      </w:r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0" w15:restartNumberingAfterBreak="0">
    <w:nsid w:val="7B5A7251"/>
    <w:multiLevelType w:val="multilevel"/>
    <w:tmpl w:val="C2387BEA"/>
    <w:lvl w:ilvl="0">
      <w:start w:val="1"/>
      <w:numFmt w:val="decimal"/>
      <w:lvlText w:val="%1."/>
      <w:lvlJc w:val="left"/>
      <w:pPr>
        <w:tabs>
          <w:tab w:val="num" w:pos="540"/>
        </w:tabs>
        <w:ind w:left="540" w:hanging="360"/>
      </w:pPr>
      <w:rPr>
        <w:b w:val="0"/>
        <w:sz w:val="24"/>
        <w:szCs w:val="24"/>
      </w:rPr>
    </w:lvl>
    <w:lvl w:ilvl="1">
      <w:start w:val="1"/>
      <w:numFmt w:val="decimal"/>
      <w:lvlText w:val="%1.%2."/>
      <w:lvlJc w:val="left"/>
      <w:pPr>
        <w:tabs>
          <w:tab w:val="num" w:pos="1332"/>
        </w:tabs>
        <w:ind w:left="133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1"/>
  </w:num>
  <w:num w:numId="3">
    <w:abstractNumId w:val="10"/>
  </w:num>
  <w:num w:numId="4">
    <w:abstractNumId w:val="4"/>
  </w:num>
  <w:num w:numId="5">
    <w:abstractNumId w:val="2"/>
  </w:num>
  <w:num w:numId="6">
    <w:abstractNumId w:val="6"/>
  </w:num>
  <w:num w:numId="7">
    <w:abstractNumId w:val="7"/>
  </w:num>
  <w:num w:numId="8">
    <w:abstractNumId w:val="5"/>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7A0"/>
    <w:rsid w:val="00083956"/>
    <w:rsid w:val="000F5275"/>
    <w:rsid w:val="00197BC1"/>
    <w:rsid w:val="001B57A0"/>
    <w:rsid w:val="001D5846"/>
    <w:rsid w:val="00204488"/>
    <w:rsid w:val="00235D72"/>
    <w:rsid w:val="00270DCC"/>
    <w:rsid w:val="00287BFD"/>
    <w:rsid w:val="002B4AEE"/>
    <w:rsid w:val="002C0113"/>
    <w:rsid w:val="0030434A"/>
    <w:rsid w:val="003148D0"/>
    <w:rsid w:val="0033545C"/>
    <w:rsid w:val="003554B9"/>
    <w:rsid w:val="00365209"/>
    <w:rsid w:val="003C64C9"/>
    <w:rsid w:val="003F32A9"/>
    <w:rsid w:val="00476C3C"/>
    <w:rsid w:val="00497893"/>
    <w:rsid w:val="004D1D47"/>
    <w:rsid w:val="00505E2A"/>
    <w:rsid w:val="00525E23"/>
    <w:rsid w:val="00553060"/>
    <w:rsid w:val="00562360"/>
    <w:rsid w:val="005D333C"/>
    <w:rsid w:val="00624AC5"/>
    <w:rsid w:val="006607CC"/>
    <w:rsid w:val="006B2679"/>
    <w:rsid w:val="006D05AB"/>
    <w:rsid w:val="006D3FB9"/>
    <w:rsid w:val="007278AC"/>
    <w:rsid w:val="007417C8"/>
    <w:rsid w:val="007671CB"/>
    <w:rsid w:val="0077094A"/>
    <w:rsid w:val="00770A97"/>
    <w:rsid w:val="00773EEA"/>
    <w:rsid w:val="007F1B57"/>
    <w:rsid w:val="007F51E6"/>
    <w:rsid w:val="008072C7"/>
    <w:rsid w:val="00840512"/>
    <w:rsid w:val="00897C65"/>
    <w:rsid w:val="008E70F6"/>
    <w:rsid w:val="009274F8"/>
    <w:rsid w:val="009710D3"/>
    <w:rsid w:val="009907B7"/>
    <w:rsid w:val="009B332A"/>
    <w:rsid w:val="009F5D65"/>
    <w:rsid w:val="00A705E5"/>
    <w:rsid w:val="00A77860"/>
    <w:rsid w:val="00B16531"/>
    <w:rsid w:val="00B64DFA"/>
    <w:rsid w:val="00B743C4"/>
    <w:rsid w:val="00BA5DBD"/>
    <w:rsid w:val="00C1335A"/>
    <w:rsid w:val="00C2154F"/>
    <w:rsid w:val="00C44CB8"/>
    <w:rsid w:val="00C525B2"/>
    <w:rsid w:val="00C6571A"/>
    <w:rsid w:val="00CE4276"/>
    <w:rsid w:val="00CE6916"/>
    <w:rsid w:val="00CF1EA3"/>
    <w:rsid w:val="00D53F2C"/>
    <w:rsid w:val="00DE65FD"/>
    <w:rsid w:val="00E73A18"/>
    <w:rsid w:val="00E74F27"/>
    <w:rsid w:val="00E959A2"/>
    <w:rsid w:val="00EA0957"/>
    <w:rsid w:val="00EB32E7"/>
    <w:rsid w:val="00EB3EBD"/>
    <w:rsid w:val="00ED5DCB"/>
    <w:rsid w:val="00EE0368"/>
    <w:rsid w:val="00F443BB"/>
    <w:rsid w:val="00F579E9"/>
    <w:rsid w:val="00FD55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7634920"/>
  <w15:chartTrackingRefBased/>
  <w15:docId w15:val="{ACF34B98-E48A-4368-8161-543EA999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B57A0"/>
    <w:rPr>
      <w:sz w:val="24"/>
      <w:szCs w:val="24"/>
      <w:lang w:eastAsia="en-US"/>
    </w:rPr>
  </w:style>
  <w:style w:type="paragraph" w:styleId="Heading1">
    <w:name w:val="heading 1"/>
    <w:basedOn w:val="Normal"/>
    <w:next w:val="Normal"/>
    <w:qFormat/>
    <w:rsid w:val="001B57A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ndkopa">
    <w:name w:val="Rindkopa"/>
    <w:basedOn w:val="Normal"/>
    <w:next w:val="Normal"/>
    <w:rsid w:val="001B57A0"/>
    <w:pPr>
      <w:ind w:left="851"/>
      <w:jc w:val="both"/>
    </w:pPr>
    <w:rPr>
      <w:rFonts w:ascii="Arial" w:hAnsi="Arial"/>
      <w:sz w:val="20"/>
      <w:lang w:eastAsia="lv-LV"/>
    </w:rPr>
  </w:style>
  <w:style w:type="paragraph" w:styleId="FootnoteText">
    <w:name w:val="footnote text"/>
    <w:basedOn w:val="Normal"/>
    <w:link w:val="FootnoteTextChar"/>
    <w:rsid w:val="001B57A0"/>
    <w:rPr>
      <w:sz w:val="20"/>
      <w:szCs w:val="20"/>
    </w:rPr>
  </w:style>
  <w:style w:type="character" w:customStyle="1" w:styleId="FootnoteTextChar">
    <w:name w:val="Footnote Text Char"/>
    <w:link w:val="FootnoteText"/>
    <w:rsid w:val="001B57A0"/>
    <w:rPr>
      <w:lang w:val="lv-LV" w:eastAsia="en-US" w:bidi="ar-SA"/>
    </w:rPr>
  </w:style>
  <w:style w:type="character" w:styleId="FootnoteReference">
    <w:name w:val="footnote reference"/>
    <w:rsid w:val="001B57A0"/>
    <w:rPr>
      <w:vertAlign w:val="superscript"/>
    </w:rPr>
  </w:style>
  <w:style w:type="paragraph" w:styleId="BlockText">
    <w:name w:val="Block Text"/>
    <w:basedOn w:val="Normal"/>
    <w:link w:val="BlockTextChar"/>
    <w:rsid w:val="007417C8"/>
    <w:pPr>
      <w:spacing w:after="120"/>
      <w:ind w:left="1440" w:right="1440" w:firstLine="567"/>
    </w:pPr>
    <w:rPr>
      <w:rFonts w:eastAsia="Calibri"/>
      <w:sz w:val="20"/>
      <w:szCs w:val="20"/>
    </w:rPr>
  </w:style>
  <w:style w:type="character" w:customStyle="1" w:styleId="BlockTextChar">
    <w:name w:val="Block Text Char"/>
    <w:link w:val="BlockText"/>
    <w:rsid w:val="007417C8"/>
    <w:rPr>
      <w:rFonts w:eastAsia="Calibri"/>
      <w:lang w:eastAsia="en-US"/>
    </w:rPr>
  </w:style>
  <w:style w:type="paragraph" w:styleId="BalloonText">
    <w:name w:val="Balloon Text"/>
    <w:basedOn w:val="Normal"/>
    <w:link w:val="BalloonTextChar"/>
    <w:rsid w:val="00F579E9"/>
    <w:rPr>
      <w:rFonts w:ascii="Tahoma" w:hAnsi="Tahoma" w:cs="Tahoma"/>
      <w:sz w:val="16"/>
      <w:szCs w:val="16"/>
    </w:rPr>
  </w:style>
  <w:style w:type="character" w:customStyle="1" w:styleId="BalloonTextChar">
    <w:name w:val="Balloon Text Char"/>
    <w:link w:val="BalloonText"/>
    <w:rsid w:val="00F579E9"/>
    <w:rPr>
      <w:rFonts w:ascii="Tahoma" w:hAnsi="Tahoma" w:cs="Tahoma"/>
      <w:sz w:val="16"/>
      <w:szCs w:val="16"/>
      <w:lang w:eastAsia="en-US"/>
    </w:rPr>
  </w:style>
  <w:style w:type="paragraph" w:styleId="PlainText">
    <w:name w:val="Plain Text"/>
    <w:basedOn w:val="Normal"/>
    <w:link w:val="PlainTextChar"/>
    <w:uiPriority w:val="99"/>
    <w:unhideWhenUsed/>
    <w:rsid w:val="00197BC1"/>
    <w:rPr>
      <w:rFonts w:ascii="Calibri" w:eastAsia="Calibri" w:hAnsi="Calibri"/>
      <w:sz w:val="22"/>
      <w:szCs w:val="21"/>
      <w:lang w:val="en-GB"/>
    </w:rPr>
  </w:style>
  <w:style w:type="character" w:customStyle="1" w:styleId="PlainTextChar">
    <w:name w:val="Plain Text Char"/>
    <w:link w:val="PlainText"/>
    <w:uiPriority w:val="99"/>
    <w:rsid w:val="00197BC1"/>
    <w:rPr>
      <w:rFonts w:ascii="Calibri" w:eastAsia="Calibri" w:hAnsi="Calibri"/>
      <w:sz w:val="22"/>
      <w:szCs w:val="21"/>
      <w:lang w:eastAsia="en-US"/>
    </w:rPr>
  </w:style>
  <w:style w:type="paragraph" w:styleId="ListParagraph">
    <w:name w:val="List Paragraph"/>
    <w:basedOn w:val="Normal"/>
    <w:uiPriority w:val="34"/>
    <w:qFormat/>
    <w:rsid w:val="00270DCC"/>
    <w:pPr>
      <w:ind w:left="720"/>
    </w:pPr>
  </w:style>
  <w:style w:type="paragraph" w:styleId="NormalWeb">
    <w:name w:val="Normal (Web)"/>
    <w:basedOn w:val="Normal"/>
    <w:uiPriority w:val="99"/>
    <w:unhideWhenUsed/>
    <w:rsid w:val="00270DCC"/>
    <w:pPr>
      <w:spacing w:before="100" w:beforeAutospacing="1" w:after="100" w:afterAutospacing="1"/>
    </w:pPr>
    <w:rPr>
      <w:lang w:eastAsia="lv-LV"/>
    </w:rPr>
  </w:style>
  <w:style w:type="character" w:customStyle="1" w:styleId="c1">
    <w:name w:val="c1"/>
    <w:rsid w:val="00270DCC"/>
  </w:style>
  <w:style w:type="character" w:styleId="Hyperlink">
    <w:name w:val="Hyperlink"/>
    <w:uiPriority w:val="99"/>
    <w:unhideWhenUsed/>
    <w:rsid w:val="00270DCC"/>
    <w:rPr>
      <w:color w:val="0000FF"/>
      <w:u w:val="single"/>
    </w:rPr>
  </w:style>
  <w:style w:type="character" w:customStyle="1" w:styleId="cliserv">
    <w:name w:val="cliserv"/>
    <w:rsid w:val="007F1B57"/>
  </w:style>
  <w:style w:type="paragraph" w:styleId="Header">
    <w:name w:val="header"/>
    <w:basedOn w:val="Normal"/>
    <w:link w:val="HeaderChar"/>
    <w:rsid w:val="004D1D47"/>
    <w:pPr>
      <w:tabs>
        <w:tab w:val="center" w:pos="4153"/>
        <w:tab w:val="right" w:pos="8306"/>
      </w:tabs>
    </w:pPr>
  </w:style>
  <w:style w:type="character" w:customStyle="1" w:styleId="HeaderChar">
    <w:name w:val="Header Char"/>
    <w:link w:val="Header"/>
    <w:rsid w:val="004D1D47"/>
    <w:rPr>
      <w:sz w:val="24"/>
      <w:szCs w:val="24"/>
      <w:lang w:eastAsia="en-US"/>
    </w:rPr>
  </w:style>
  <w:style w:type="paragraph" w:styleId="Footer">
    <w:name w:val="footer"/>
    <w:basedOn w:val="Normal"/>
    <w:link w:val="FooterChar"/>
    <w:uiPriority w:val="99"/>
    <w:rsid w:val="004D1D47"/>
    <w:pPr>
      <w:tabs>
        <w:tab w:val="center" w:pos="4153"/>
        <w:tab w:val="right" w:pos="8306"/>
      </w:tabs>
    </w:pPr>
  </w:style>
  <w:style w:type="character" w:customStyle="1" w:styleId="FooterChar">
    <w:name w:val="Footer Char"/>
    <w:link w:val="Footer"/>
    <w:uiPriority w:val="99"/>
    <w:rsid w:val="004D1D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07348">
      <w:bodyDiv w:val="1"/>
      <w:marLeft w:val="0"/>
      <w:marRight w:val="0"/>
      <w:marTop w:val="0"/>
      <w:marBottom w:val="0"/>
      <w:divBdr>
        <w:top w:val="none" w:sz="0" w:space="0" w:color="auto"/>
        <w:left w:val="none" w:sz="0" w:space="0" w:color="auto"/>
        <w:bottom w:val="none" w:sz="0" w:space="0" w:color="auto"/>
        <w:right w:val="none" w:sz="0" w:space="0" w:color="auto"/>
      </w:divBdr>
    </w:div>
    <w:div w:id="523443168">
      <w:bodyDiv w:val="1"/>
      <w:marLeft w:val="0"/>
      <w:marRight w:val="0"/>
      <w:marTop w:val="0"/>
      <w:marBottom w:val="0"/>
      <w:divBdr>
        <w:top w:val="none" w:sz="0" w:space="0" w:color="auto"/>
        <w:left w:val="none" w:sz="0" w:space="0" w:color="auto"/>
        <w:bottom w:val="none" w:sz="0" w:space="0" w:color="auto"/>
        <w:right w:val="none" w:sz="0" w:space="0" w:color="auto"/>
      </w:divBdr>
    </w:div>
    <w:div w:id="845510872">
      <w:bodyDiv w:val="1"/>
      <w:marLeft w:val="0"/>
      <w:marRight w:val="0"/>
      <w:marTop w:val="0"/>
      <w:marBottom w:val="0"/>
      <w:divBdr>
        <w:top w:val="none" w:sz="0" w:space="0" w:color="auto"/>
        <w:left w:val="none" w:sz="0" w:space="0" w:color="auto"/>
        <w:bottom w:val="none" w:sz="0" w:space="0" w:color="auto"/>
        <w:right w:val="none" w:sz="0" w:space="0" w:color="auto"/>
      </w:divBdr>
    </w:div>
    <w:div w:id="1103692766">
      <w:bodyDiv w:val="1"/>
      <w:marLeft w:val="0"/>
      <w:marRight w:val="0"/>
      <w:marTop w:val="0"/>
      <w:marBottom w:val="0"/>
      <w:divBdr>
        <w:top w:val="none" w:sz="0" w:space="0" w:color="auto"/>
        <w:left w:val="none" w:sz="0" w:space="0" w:color="auto"/>
        <w:bottom w:val="none" w:sz="0" w:space="0" w:color="auto"/>
        <w:right w:val="none" w:sz="0" w:space="0" w:color="auto"/>
      </w:divBdr>
    </w:div>
    <w:div w:id="209269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3354</Words>
  <Characters>1912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TEHNISKĀ SPECIFIKĀCIJA</vt:lpstr>
    </vt:vector>
  </TitlesOfParts>
  <Company>Hewlett-Packard Company</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subject/>
  <dc:creator>Baiba</dc:creator>
  <cp:keywords/>
  <cp:lastModifiedBy>Artis Zaluksnis</cp:lastModifiedBy>
  <cp:revision>8</cp:revision>
  <cp:lastPrinted>2015-07-21T13:49:00Z</cp:lastPrinted>
  <dcterms:created xsi:type="dcterms:W3CDTF">2017-06-30T10:22:00Z</dcterms:created>
  <dcterms:modified xsi:type="dcterms:W3CDTF">2017-07-06T13:00:00Z</dcterms:modified>
</cp:coreProperties>
</file>